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DA1F18" w:rsidRPr="0011531B" w:rsidRDefault="00DA1F18" w:rsidP="0011531B">
      <w:pPr>
        <w:spacing w:line="480" w:lineRule="auto"/>
        <w:jc w:val="center"/>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1B1B1B"/>
          <w:sz w:val="24"/>
          <w:szCs w:val="24"/>
          <w:shd w:val="clear" w:color="auto" w:fill="FFFFFF"/>
        </w:rPr>
        <w:t>Create and Analyze a Self-designed Fictitious Study </w:t>
      </w:r>
      <w:r w:rsidRPr="0011531B">
        <w:rPr>
          <w:rFonts w:ascii="Times New Roman" w:hAnsi="Times New Roman" w:cs="Times New Roman"/>
          <w:color w:val="000000" w:themeColor="text1"/>
          <w:sz w:val="24"/>
          <w:szCs w:val="24"/>
          <w:shd w:val="clear" w:color="auto" w:fill="FFFFFF"/>
        </w:rPr>
        <w:t xml:space="preserve"> </w:t>
      </w:r>
    </w:p>
    <w:p w:rsidR="00B7103F" w:rsidRPr="0011531B" w:rsidRDefault="00920CCE" w:rsidP="0011531B">
      <w:pPr>
        <w:spacing w:line="480" w:lineRule="auto"/>
        <w:jc w:val="center"/>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Name</w:t>
      </w:r>
    </w:p>
    <w:p w:rsidR="00B7103F" w:rsidRPr="0011531B" w:rsidRDefault="00920CCE" w:rsidP="0011531B">
      <w:pPr>
        <w:spacing w:line="480" w:lineRule="auto"/>
        <w:jc w:val="center"/>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Institution</w:t>
      </w:r>
    </w:p>
    <w:p w:rsidR="00B7103F" w:rsidRPr="0011531B" w:rsidRDefault="00920CCE" w:rsidP="0011531B">
      <w:pPr>
        <w:spacing w:line="480" w:lineRule="auto"/>
        <w:jc w:val="center"/>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Course</w:t>
      </w:r>
    </w:p>
    <w:p w:rsidR="00B7103F" w:rsidRPr="0011531B" w:rsidRDefault="00920CCE" w:rsidP="0011531B">
      <w:pPr>
        <w:spacing w:line="480" w:lineRule="auto"/>
        <w:jc w:val="center"/>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Date</w:t>
      </w: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B7103F" w:rsidRPr="0011531B" w:rsidRDefault="00B7103F" w:rsidP="0011531B">
      <w:pPr>
        <w:spacing w:line="480" w:lineRule="auto"/>
        <w:jc w:val="center"/>
        <w:rPr>
          <w:rFonts w:ascii="Times New Roman" w:hAnsi="Times New Roman" w:cs="Times New Roman"/>
          <w:color w:val="000000" w:themeColor="text1"/>
          <w:sz w:val="24"/>
          <w:szCs w:val="24"/>
          <w:shd w:val="clear" w:color="auto" w:fill="FFFFFF"/>
        </w:rPr>
      </w:pPr>
    </w:p>
    <w:p w:rsidR="001B053B" w:rsidRPr="0011531B" w:rsidRDefault="00920CCE" w:rsidP="0011531B">
      <w:pPr>
        <w:spacing w:line="480" w:lineRule="auto"/>
        <w:rPr>
          <w:rFonts w:ascii="Times New Roman" w:hAnsi="Times New Roman" w:cs="Times New Roman"/>
          <w:b/>
          <w:color w:val="000000" w:themeColor="text1"/>
          <w:sz w:val="24"/>
          <w:szCs w:val="24"/>
        </w:rPr>
      </w:pPr>
      <w:r w:rsidRPr="0011531B">
        <w:rPr>
          <w:rFonts w:ascii="Times New Roman" w:hAnsi="Times New Roman" w:cs="Times New Roman"/>
          <w:b/>
          <w:color w:val="000000" w:themeColor="text1"/>
          <w:sz w:val="24"/>
          <w:szCs w:val="24"/>
        </w:rPr>
        <w:lastRenderedPageBreak/>
        <w:t>Description of Research Study</w:t>
      </w:r>
    </w:p>
    <w:p w:rsidR="00941FDF" w:rsidRPr="0011531B" w:rsidRDefault="00920CCE" w:rsidP="0011531B">
      <w:pPr>
        <w:spacing w:line="480" w:lineRule="auto"/>
        <w:ind w:firstLine="720"/>
        <w:rPr>
          <w:rFonts w:ascii="Times New Roman" w:hAnsi="Times New Roman" w:cs="Times New Roman"/>
          <w:color w:val="000000" w:themeColor="text1"/>
          <w:sz w:val="24"/>
          <w:szCs w:val="24"/>
        </w:rPr>
      </w:pPr>
      <w:r w:rsidRPr="0011531B">
        <w:rPr>
          <w:rFonts w:ascii="Times New Roman" w:eastAsia="Times New Roman" w:hAnsi="Times New Roman" w:cs="Times New Roman"/>
          <w:color w:val="000000" w:themeColor="text1"/>
          <w:sz w:val="24"/>
          <w:szCs w:val="24"/>
          <w:lang w:eastAsia="en-GB"/>
        </w:rPr>
        <w:t>In education, few issues threaten the country as extremely as the current and increasing teachers’ shortage</w:t>
      </w:r>
      <w:r w:rsidR="00C833BA" w:rsidRPr="0011531B">
        <w:rPr>
          <w:rFonts w:ascii="Times New Roman" w:hAnsi="Times New Roman" w:cs="Times New Roman"/>
          <w:color w:val="000000" w:themeColor="text1"/>
          <w:sz w:val="24"/>
          <w:szCs w:val="24"/>
        </w:rPr>
        <w:t xml:space="preserve"> (</w:t>
      </w:r>
      <w:r w:rsidR="00C833BA" w:rsidRPr="0011531B">
        <w:rPr>
          <w:rFonts w:ascii="Times New Roman" w:eastAsia="Times New Roman" w:hAnsi="Times New Roman" w:cs="Times New Roman"/>
          <w:color w:val="000000" w:themeColor="text1"/>
          <w:sz w:val="24"/>
          <w:szCs w:val="24"/>
          <w:lang w:eastAsia="en-GB"/>
        </w:rPr>
        <w:t>Billingsley, 2004)</w:t>
      </w:r>
      <w:r w:rsidRPr="0011531B">
        <w:rPr>
          <w:rFonts w:ascii="Times New Roman" w:eastAsia="Times New Roman" w:hAnsi="Times New Roman" w:cs="Times New Roman"/>
          <w:color w:val="000000" w:themeColor="text1"/>
          <w:sz w:val="24"/>
          <w:szCs w:val="24"/>
          <w:lang w:eastAsia="en-GB"/>
        </w:rPr>
        <w:t xml:space="preserve">. Across the nation, attrition </w:t>
      </w:r>
      <w:r w:rsidR="00BE28D0" w:rsidRPr="0011531B">
        <w:rPr>
          <w:rFonts w:ascii="Times New Roman" w:eastAsia="Times New Roman" w:hAnsi="Times New Roman" w:cs="Times New Roman"/>
          <w:color w:val="000000" w:themeColor="text1"/>
          <w:sz w:val="24"/>
          <w:szCs w:val="24"/>
          <w:lang w:eastAsia="en-GB"/>
        </w:rPr>
        <w:t xml:space="preserve">of teacher is great among the educators and is one of the </w:t>
      </w:r>
      <w:r w:rsidR="00D0079F" w:rsidRPr="0011531B">
        <w:rPr>
          <w:rFonts w:ascii="Times New Roman" w:eastAsia="Times New Roman" w:hAnsi="Times New Roman" w:cs="Times New Roman"/>
          <w:color w:val="000000" w:themeColor="text1"/>
          <w:sz w:val="24"/>
          <w:szCs w:val="24"/>
          <w:lang w:eastAsia="en-GB"/>
        </w:rPr>
        <w:t>gravest</w:t>
      </w:r>
      <w:r w:rsidR="00BE28D0" w:rsidRPr="0011531B">
        <w:rPr>
          <w:rFonts w:ascii="Times New Roman" w:eastAsia="Times New Roman" w:hAnsi="Times New Roman" w:cs="Times New Roman"/>
          <w:color w:val="000000" w:themeColor="text1"/>
          <w:sz w:val="24"/>
          <w:szCs w:val="24"/>
          <w:lang w:eastAsia="en-GB"/>
        </w:rPr>
        <w:t xml:space="preserve"> causes of the shortage of teachers</w:t>
      </w:r>
      <w:r w:rsidR="0075415B">
        <w:rPr>
          <w:rFonts w:ascii="Times New Roman" w:eastAsia="Times New Roman" w:hAnsi="Times New Roman" w:cs="Times New Roman"/>
          <w:color w:val="000000" w:themeColor="text1"/>
          <w:sz w:val="24"/>
          <w:szCs w:val="24"/>
          <w:lang w:eastAsia="en-GB"/>
        </w:rPr>
        <w:t xml:space="preserve"> </w:t>
      </w:r>
      <w:r w:rsidR="00671385" w:rsidRPr="0011531B">
        <w:rPr>
          <w:rFonts w:ascii="Times New Roman" w:eastAsia="Times New Roman" w:hAnsi="Times New Roman" w:cs="Times New Roman"/>
          <w:color w:val="000000" w:themeColor="text1"/>
          <w:sz w:val="24"/>
          <w:szCs w:val="24"/>
          <w:lang w:eastAsia="en-GB"/>
        </w:rPr>
        <w:t>across the country</w:t>
      </w:r>
      <w:r w:rsidR="00BE28D0" w:rsidRPr="0011531B">
        <w:rPr>
          <w:rFonts w:ascii="Times New Roman" w:eastAsia="Times New Roman" w:hAnsi="Times New Roman" w:cs="Times New Roman"/>
          <w:color w:val="000000" w:themeColor="text1"/>
          <w:sz w:val="24"/>
          <w:szCs w:val="24"/>
          <w:lang w:eastAsia="en-GB"/>
        </w:rPr>
        <w:t xml:space="preserve">. </w:t>
      </w:r>
      <w:r w:rsidR="00D0079F" w:rsidRPr="0011531B">
        <w:rPr>
          <w:rFonts w:ascii="Times New Roman" w:eastAsia="Times New Roman" w:hAnsi="Times New Roman" w:cs="Times New Roman"/>
          <w:color w:val="000000" w:themeColor="text1"/>
          <w:sz w:val="24"/>
          <w:szCs w:val="24"/>
          <w:lang w:eastAsia="en-GB"/>
        </w:rPr>
        <w:t xml:space="preserve">Studies are required to explore the retention effects of policy resolutions with regard to different components influencing the decisions of educators to leave or remain in the profession as policymakers try to deal with this challenge. </w:t>
      </w:r>
      <w:r w:rsidR="005B5254" w:rsidRPr="0011531B">
        <w:rPr>
          <w:rFonts w:ascii="Times New Roman" w:eastAsia="Times New Roman" w:hAnsi="Times New Roman" w:cs="Times New Roman"/>
          <w:color w:val="000000" w:themeColor="text1"/>
          <w:sz w:val="24"/>
          <w:szCs w:val="24"/>
          <w:lang w:eastAsia="en-GB"/>
        </w:rPr>
        <w:t xml:space="preserve">There has been </w:t>
      </w:r>
      <w:r w:rsidR="00D52626" w:rsidRPr="0011531B">
        <w:rPr>
          <w:rFonts w:ascii="Times New Roman" w:eastAsia="Times New Roman" w:hAnsi="Times New Roman" w:cs="Times New Roman"/>
          <w:color w:val="000000" w:themeColor="text1"/>
          <w:sz w:val="24"/>
          <w:szCs w:val="24"/>
          <w:lang w:eastAsia="en-GB"/>
        </w:rPr>
        <w:t>growing alternative teacher certification popularity in recent years that is mainly because of the grave shortage of teacher</w:t>
      </w:r>
      <w:r w:rsidR="00671385" w:rsidRPr="0011531B">
        <w:rPr>
          <w:rFonts w:ascii="Times New Roman" w:eastAsia="Times New Roman" w:hAnsi="Times New Roman" w:cs="Times New Roman"/>
          <w:color w:val="000000" w:themeColor="text1"/>
          <w:sz w:val="24"/>
          <w:szCs w:val="24"/>
          <w:lang w:eastAsia="en-GB"/>
        </w:rPr>
        <w:t>s</w:t>
      </w:r>
      <w:r w:rsidR="00D52626" w:rsidRPr="0011531B">
        <w:rPr>
          <w:rFonts w:ascii="Times New Roman" w:eastAsia="Times New Roman" w:hAnsi="Times New Roman" w:cs="Times New Roman"/>
          <w:color w:val="000000" w:themeColor="text1"/>
          <w:sz w:val="24"/>
          <w:szCs w:val="24"/>
          <w:lang w:eastAsia="en-GB"/>
        </w:rPr>
        <w:t xml:space="preserve"> across the nation. Programs of alternative route certification (ARC) have been specially developed to hire, educate, train and license talented people who already have at least bachelor's degrees. The individuals must pass a demanding process of screenings</w:t>
      </w:r>
      <w:r w:rsidR="00D01E64" w:rsidRPr="0011531B">
        <w:rPr>
          <w:rFonts w:ascii="Times New Roman" w:hAnsi="Times New Roman" w:cs="Times New Roman"/>
          <w:color w:val="000000" w:themeColor="text1"/>
          <w:sz w:val="24"/>
          <w:szCs w:val="24"/>
        </w:rPr>
        <w:t xml:space="preserve"> (</w:t>
      </w:r>
      <w:r w:rsidR="00D01E64" w:rsidRPr="0011531B">
        <w:rPr>
          <w:rFonts w:ascii="Times New Roman" w:eastAsia="Times New Roman" w:hAnsi="Times New Roman" w:cs="Times New Roman"/>
          <w:color w:val="000000" w:themeColor="text1"/>
          <w:sz w:val="24"/>
          <w:szCs w:val="24"/>
          <w:lang w:eastAsia="en-GB"/>
        </w:rPr>
        <w:t>Boyd, et al. 2011)</w:t>
      </w:r>
      <w:r w:rsidR="00D52626" w:rsidRPr="0011531B">
        <w:rPr>
          <w:rFonts w:ascii="Times New Roman" w:eastAsia="Times New Roman" w:hAnsi="Times New Roman" w:cs="Times New Roman"/>
          <w:color w:val="000000" w:themeColor="text1"/>
          <w:sz w:val="24"/>
          <w:szCs w:val="24"/>
          <w:lang w:eastAsia="en-GB"/>
        </w:rPr>
        <w:t xml:space="preserve">. The programs of alternative route certification include equivalent experiences or course work while teaching and they are field based. The nominees of the programs work diligently with their advisers in the preparations to achieve high standards of performance needed for the program completion. </w:t>
      </w:r>
    </w:p>
    <w:p w:rsidR="00941FDF"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The commission raised the significant questions of whether there are optional course programs </w:t>
      </w:r>
      <w:r w:rsidR="00213D44" w:rsidRPr="0011531B">
        <w:rPr>
          <w:rFonts w:ascii="Times New Roman" w:eastAsia="Times New Roman" w:hAnsi="Times New Roman" w:cs="Times New Roman"/>
          <w:color w:val="000000" w:themeColor="text1"/>
          <w:sz w:val="24"/>
          <w:szCs w:val="24"/>
          <w:lang w:eastAsia="en-GB"/>
        </w:rPr>
        <w:t>in the Edu</w:t>
      </w:r>
      <w:r w:rsidR="00DC4B8C" w:rsidRPr="0011531B">
        <w:rPr>
          <w:rFonts w:ascii="Times New Roman" w:eastAsia="Times New Roman" w:hAnsi="Times New Roman" w:cs="Times New Roman"/>
          <w:color w:val="000000" w:themeColor="text1"/>
          <w:sz w:val="24"/>
          <w:szCs w:val="24"/>
          <w:lang w:eastAsia="en-GB"/>
        </w:rPr>
        <w:t>cation Commission Reports of the States that advance effective contemporary percentage of educators with average or greater than averages educators retention rates</w:t>
      </w:r>
      <w:r w:rsidR="0075415B">
        <w:rPr>
          <w:rFonts w:ascii="Times New Roman" w:eastAsia="Times New Roman" w:hAnsi="Times New Roman" w:cs="Times New Roman"/>
          <w:color w:val="000000" w:themeColor="text1"/>
          <w:sz w:val="24"/>
          <w:szCs w:val="24"/>
          <w:lang w:eastAsia="en-GB"/>
        </w:rPr>
        <w:t xml:space="preserve"> </w:t>
      </w:r>
      <w:r w:rsidR="00272FBC" w:rsidRPr="0011531B">
        <w:rPr>
          <w:rFonts w:ascii="Times New Roman" w:hAnsi="Times New Roman" w:cs="Times New Roman"/>
          <w:color w:val="000000" w:themeColor="text1"/>
          <w:sz w:val="24"/>
          <w:szCs w:val="24"/>
        </w:rPr>
        <w:t>(</w:t>
      </w:r>
      <w:r w:rsidR="00272FBC" w:rsidRPr="0011531B">
        <w:rPr>
          <w:rFonts w:ascii="Times New Roman" w:eastAsia="Times New Roman" w:hAnsi="Times New Roman" w:cs="Times New Roman"/>
          <w:color w:val="000000" w:themeColor="text1"/>
          <w:sz w:val="24"/>
          <w:szCs w:val="24"/>
          <w:lang w:eastAsia="en-GB"/>
        </w:rPr>
        <w:t>Hughes, Matt, &amp; O'Reilly, 2015)</w:t>
      </w:r>
      <w:r w:rsidR="00213D44" w:rsidRPr="0011531B">
        <w:rPr>
          <w:rFonts w:ascii="Times New Roman" w:eastAsia="Times New Roman" w:hAnsi="Times New Roman" w:cs="Times New Roman"/>
          <w:color w:val="000000" w:themeColor="text1"/>
          <w:sz w:val="24"/>
          <w:szCs w:val="24"/>
          <w:lang w:eastAsia="en-GB"/>
        </w:rPr>
        <w:t xml:space="preserve">. The paper concluded that rates of retentions for optional courses can be equivalent to the conventionally prepared educators over the short-term, but regarding long-term retentions, </w:t>
      </w:r>
      <w:r w:rsidR="00C25736" w:rsidRPr="0011531B">
        <w:rPr>
          <w:rFonts w:ascii="Times New Roman" w:eastAsia="Times New Roman" w:hAnsi="Times New Roman" w:cs="Times New Roman"/>
          <w:color w:val="000000" w:themeColor="text1"/>
          <w:sz w:val="24"/>
          <w:szCs w:val="24"/>
          <w:lang w:eastAsia="en-GB"/>
        </w:rPr>
        <w:t>the studies on this matter have to be viewed as indecisive. The aim of this research</w:t>
      </w:r>
      <w:r w:rsidR="00396852" w:rsidRPr="0011531B">
        <w:rPr>
          <w:rFonts w:ascii="Times New Roman" w:eastAsia="Times New Roman" w:hAnsi="Times New Roman" w:cs="Times New Roman"/>
          <w:color w:val="000000" w:themeColor="text1"/>
          <w:sz w:val="24"/>
          <w:szCs w:val="24"/>
          <w:lang w:eastAsia="en-GB"/>
        </w:rPr>
        <w:t xml:space="preserve"> is to</w:t>
      </w:r>
      <w:r w:rsidR="00C25736" w:rsidRPr="0011531B">
        <w:rPr>
          <w:rFonts w:ascii="Times New Roman" w:eastAsia="Times New Roman" w:hAnsi="Times New Roman" w:cs="Times New Roman"/>
          <w:color w:val="000000" w:themeColor="text1"/>
          <w:sz w:val="24"/>
          <w:szCs w:val="24"/>
          <w:lang w:eastAsia="en-GB"/>
        </w:rPr>
        <w:t xml:space="preserve"> examine the effects of long-term retention of traditional programs of teacher preparations and alternative course </w:t>
      </w:r>
      <w:r w:rsidR="00396852" w:rsidRPr="0011531B">
        <w:rPr>
          <w:rFonts w:ascii="Times New Roman" w:eastAsia="Times New Roman" w:hAnsi="Times New Roman" w:cs="Times New Roman"/>
          <w:color w:val="000000" w:themeColor="text1"/>
          <w:sz w:val="24"/>
          <w:szCs w:val="24"/>
          <w:lang w:eastAsia="en-GB"/>
        </w:rPr>
        <w:t xml:space="preserve">programs of teacher preparations. </w:t>
      </w:r>
    </w:p>
    <w:p w:rsidR="004D5678"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The Purpose of the study</w:t>
      </w:r>
    </w:p>
    <w:p w:rsidR="004D5678"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The retention of the teacher is vital since the turnovers of the teacher create costs and instabilities and impacts negatively on the quality of teaching, particularly in learning institutions which most need stabilities</w:t>
      </w:r>
      <w:r w:rsidR="00272FBC" w:rsidRPr="0011531B">
        <w:rPr>
          <w:rFonts w:ascii="Times New Roman" w:hAnsi="Times New Roman" w:cs="Times New Roman"/>
          <w:color w:val="000000" w:themeColor="text1"/>
          <w:sz w:val="24"/>
          <w:szCs w:val="24"/>
        </w:rPr>
        <w:t xml:space="preserve"> (</w:t>
      </w:r>
      <w:r w:rsidR="00272FBC" w:rsidRPr="0011531B">
        <w:rPr>
          <w:rFonts w:ascii="Times New Roman" w:eastAsia="Times New Roman" w:hAnsi="Times New Roman" w:cs="Times New Roman"/>
          <w:color w:val="000000" w:themeColor="text1"/>
          <w:sz w:val="24"/>
          <w:szCs w:val="24"/>
          <w:lang w:eastAsia="en-GB"/>
        </w:rPr>
        <w:t>Papay, et al. 2017)</w:t>
      </w:r>
      <w:r w:rsidRPr="0011531B">
        <w:rPr>
          <w:rFonts w:ascii="Times New Roman" w:eastAsia="Times New Roman" w:hAnsi="Times New Roman" w:cs="Times New Roman"/>
          <w:color w:val="000000" w:themeColor="text1"/>
          <w:sz w:val="24"/>
          <w:szCs w:val="24"/>
          <w:lang w:eastAsia="en-GB"/>
        </w:rPr>
        <w:t xml:space="preserve">. </w:t>
      </w:r>
      <w:r w:rsidR="00ED5577" w:rsidRPr="0011531B">
        <w:rPr>
          <w:rFonts w:ascii="Times New Roman" w:eastAsia="Times New Roman" w:hAnsi="Times New Roman" w:cs="Times New Roman"/>
          <w:color w:val="000000" w:themeColor="text1"/>
          <w:sz w:val="24"/>
          <w:szCs w:val="24"/>
          <w:lang w:eastAsia="en-GB"/>
        </w:rPr>
        <w:t xml:space="preserve">When trained educators quit the profession just in a few years, they should be substituted by trainee tutors, which incur considerable expenses.  </w:t>
      </w:r>
      <w:r w:rsidR="00B46195" w:rsidRPr="0011531B">
        <w:rPr>
          <w:rFonts w:ascii="Times New Roman" w:eastAsia="Times New Roman" w:hAnsi="Times New Roman" w:cs="Times New Roman"/>
          <w:color w:val="000000" w:themeColor="text1"/>
          <w:sz w:val="24"/>
          <w:szCs w:val="24"/>
          <w:lang w:eastAsia="en-GB"/>
        </w:rPr>
        <w:t xml:space="preserve">In 2005, </w:t>
      </w:r>
      <w:r w:rsidR="00ED5577" w:rsidRPr="0011531B">
        <w:rPr>
          <w:rFonts w:ascii="Times New Roman" w:eastAsia="Times New Roman" w:hAnsi="Times New Roman" w:cs="Times New Roman"/>
          <w:color w:val="000000" w:themeColor="text1"/>
          <w:sz w:val="24"/>
          <w:szCs w:val="24"/>
          <w:lang w:eastAsia="en-GB"/>
        </w:rPr>
        <w:t>The U.S school systems spent $ 4.9 billion on the turnover of the teachers accord</w:t>
      </w:r>
      <w:r w:rsidR="00B46195" w:rsidRPr="0011531B">
        <w:rPr>
          <w:rFonts w:ascii="Times New Roman" w:eastAsia="Times New Roman" w:hAnsi="Times New Roman" w:cs="Times New Roman"/>
          <w:color w:val="000000" w:themeColor="text1"/>
          <w:sz w:val="24"/>
          <w:szCs w:val="24"/>
          <w:lang w:eastAsia="en-GB"/>
        </w:rPr>
        <w:t xml:space="preserve">ing to the Labor U.S Department. More significant than the monetary costs are costs to the well-being of student academics. Continually substituting effective and experienced teachers with trainee educators causes learners to be trained by a stream of first-year and inexperienced educators. Studies are required to examine alternative and new courses to </w:t>
      </w:r>
      <w:r w:rsidR="00120BFF" w:rsidRPr="0011531B">
        <w:rPr>
          <w:rFonts w:ascii="Times New Roman" w:eastAsia="Times New Roman" w:hAnsi="Times New Roman" w:cs="Times New Roman"/>
          <w:color w:val="000000" w:themeColor="text1"/>
          <w:sz w:val="24"/>
          <w:szCs w:val="24"/>
          <w:lang w:eastAsia="en-GB"/>
        </w:rPr>
        <w:t>teaching careers which can lead to good retentions</w:t>
      </w:r>
      <w:r w:rsidR="00272FBC" w:rsidRPr="0011531B">
        <w:rPr>
          <w:rFonts w:ascii="Times New Roman" w:hAnsi="Times New Roman" w:cs="Times New Roman"/>
          <w:color w:val="000000" w:themeColor="text1"/>
          <w:sz w:val="24"/>
          <w:szCs w:val="24"/>
        </w:rPr>
        <w:t xml:space="preserve"> (</w:t>
      </w:r>
      <w:r w:rsidR="00272FBC" w:rsidRPr="0011531B">
        <w:rPr>
          <w:rFonts w:ascii="Times New Roman" w:eastAsia="Times New Roman" w:hAnsi="Times New Roman" w:cs="Times New Roman"/>
          <w:color w:val="000000" w:themeColor="text1"/>
          <w:sz w:val="24"/>
          <w:szCs w:val="24"/>
          <w:lang w:eastAsia="en-GB"/>
        </w:rPr>
        <w:t>West, et al. 2016)</w:t>
      </w:r>
      <w:r w:rsidR="00120BFF" w:rsidRPr="0011531B">
        <w:rPr>
          <w:rFonts w:ascii="Times New Roman" w:eastAsia="Times New Roman" w:hAnsi="Times New Roman" w:cs="Times New Roman"/>
          <w:color w:val="000000" w:themeColor="text1"/>
          <w:sz w:val="24"/>
          <w:szCs w:val="24"/>
          <w:lang w:eastAsia="en-GB"/>
        </w:rPr>
        <w:t xml:space="preserve">. The purpose of this research is to explore one significant aspect associated with retention of teachers: the teacher preparation type. </w:t>
      </w:r>
    </w:p>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 xml:space="preserve">Hypotheses </w:t>
      </w:r>
    </w:p>
    <w:p w:rsidR="00914E81" w:rsidRPr="0011531B" w:rsidRDefault="00920CCE" w:rsidP="0011531B">
      <w:pPr>
        <w:spacing w:line="480" w:lineRule="auto"/>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I hypothesized that:</w:t>
      </w:r>
    </w:p>
    <w:p w:rsidR="00DC4B8C" w:rsidRPr="0011531B" w:rsidRDefault="00DC4B8C" w:rsidP="0011531B">
      <w:pPr>
        <w:pStyle w:val="ListParagraph"/>
        <w:numPr>
          <w:ilvl w:val="0"/>
          <w:numId w:val="2"/>
        </w:numPr>
        <w:spacing w:line="480" w:lineRule="auto"/>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 xml:space="preserve">Educators can complete systematic, recognized, and baccalaureate-universities-or-colleges levels </w:t>
      </w:r>
      <w:r w:rsidR="00A30B8D" w:rsidRPr="0011531B">
        <w:rPr>
          <w:rFonts w:ascii="Times New Roman" w:hAnsi="Times New Roman" w:cs="Times New Roman"/>
          <w:color w:val="000000" w:themeColor="text1"/>
          <w:sz w:val="24"/>
          <w:szCs w:val="24"/>
          <w:shd w:val="clear" w:color="auto" w:fill="FFFFFF"/>
        </w:rPr>
        <w:t>based tutor education program.</w:t>
      </w:r>
    </w:p>
    <w:p w:rsidR="00120BFF" w:rsidRPr="0011531B" w:rsidRDefault="00A30B8D" w:rsidP="0011531B">
      <w:pPr>
        <w:pStyle w:val="ListParagraph"/>
        <w:numPr>
          <w:ilvl w:val="0"/>
          <w:numId w:val="2"/>
        </w:numPr>
        <w:spacing w:line="480" w:lineRule="auto"/>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Through programs of horizontal entry alternative licensures, educators access the profession:</w:t>
      </w:r>
      <w:r w:rsidR="00634661" w:rsidRPr="0011531B">
        <w:rPr>
          <w:rFonts w:ascii="Times New Roman" w:hAnsi="Times New Roman" w:cs="Times New Roman"/>
          <w:color w:val="000000" w:themeColor="text1"/>
          <w:sz w:val="24"/>
          <w:szCs w:val="24"/>
          <w:shd w:val="clear" w:color="auto" w:fill="FFFFFF"/>
        </w:rPr>
        <w:t xml:space="preserve"> swim-or-sink course to teachings which allow qualified people to acquire teaching positions and start </w:t>
      </w:r>
      <w:r w:rsidR="00F7431B" w:rsidRPr="0011531B">
        <w:rPr>
          <w:rFonts w:ascii="Times New Roman" w:hAnsi="Times New Roman" w:cs="Times New Roman"/>
          <w:color w:val="000000" w:themeColor="text1"/>
          <w:sz w:val="24"/>
          <w:szCs w:val="24"/>
          <w:shd w:val="clear" w:color="auto" w:fill="FFFFFF"/>
        </w:rPr>
        <w:t>teaching instantly while obtaining licenses are they teach</w:t>
      </w:r>
      <w:r w:rsidR="00822DD4" w:rsidRPr="0011531B">
        <w:rPr>
          <w:rFonts w:ascii="Times New Roman" w:hAnsi="Times New Roman" w:cs="Times New Roman"/>
          <w:color w:val="000000" w:themeColor="text1"/>
          <w:sz w:val="24"/>
          <w:szCs w:val="24"/>
          <w:shd w:val="clear" w:color="auto" w:fill="FFFFFF"/>
        </w:rPr>
        <w:t xml:space="preserve"> (Zhang &amp; Zeller, 2016)</w:t>
      </w:r>
      <w:r w:rsidR="00F7431B" w:rsidRPr="0011531B">
        <w:rPr>
          <w:rFonts w:ascii="Times New Roman" w:hAnsi="Times New Roman" w:cs="Times New Roman"/>
          <w:color w:val="000000" w:themeColor="text1"/>
          <w:sz w:val="24"/>
          <w:szCs w:val="24"/>
          <w:shd w:val="clear" w:color="auto" w:fill="FFFFFF"/>
        </w:rPr>
        <w:t xml:space="preserve">. </w:t>
      </w:r>
      <w:r w:rsidR="00492A20" w:rsidRPr="0011531B">
        <w:rPr>
          <w:rFonts w:ascii="Times New Roman" w:hAnsi="Times New Roman" w:cs="Times New Roman"/>
          <w:color w:val="000000" w:themeColor="text1"/>
          <w:sz w:val="24"/>
          <w:szCs w:val="24"/>
          <w:shd w:val="clear" w:color="auto" w:fill="FFFFFF"/>
        </w:rPr>
        <w:t xml:space="preserve">Horizontal entry educators should finish particular courses toward licensures within a given time period. The candidates should have bachelor’s degrees from accredited university or college to be considered for lateral entries. </w:t>
      </w:r>
    </w:p>
    <w:p w:rsidR="00941FDF" w:rsidRPr="0011531B" w:rsidRDefault="00920CCE" w:rsidP="0011531B">
      <w:pPr>
        <w:pStyle w:val="ListParagraph"/>
        <w:numPr>
          <w:ilvl w:val="0"/>
          <w:numId w:val="1"/>
        </w:numPr>
        <w:spacing w:line="480" w:lineRule="auto"/>
        <w:rPr>
          <w:rFonts w:ascii="Times New Roman" w:hAnsi="Times New Roman" w:cs="Times New Roman"/>
          <w:color w:val="000000" w:themeColor="text1"/>
          <w:sz w:val="24"/>
          <w:szCs w:val="24"/>
          <w:shd w:val="clear" w:color="auto" w:fill="FFFFFF"/>
        </w:rPr>
      </w:pPr>
      <w:r w:rsidRPr="0011531B">
        <w:rPr>
          <w:rFonts w:ascii="Times New Roman" w:hAnsi="Times New Roman" w:cs="Times New Roman"/>
          <w:color w:val="000000" w:themeColor="text1"/>
          <w:sz w:val="24"/>
          <w:szCs w:val="24"/>
          <w:shd w:val="clear" w:color="auto" w:fill="FFFFFF"/>
        </w:rPr>
        <w:t>Teachers can finish special alternative licensure programs developed in easing non-education majors into teaching and support them in teaching careers.</w:t>
      </w:r>
    </w:p>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 xml:space="preserve">The variables </w:t>
      </w:r>
    </w:p>
    <w:p w:rsidR="00941FDF" w:rsidRPr="0011531B" w:rsidRDefault="00A30B8D"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Mixed research designs were applied by the research (Billingsley, 2004). To determine the factors that affect the retentions of educators, nine variables were qualitatively and quantitatively s</w:t>
      </w:r>
      <w:r w:rsidR="0075415B">
        <w:rPr>
          <w:rFonts w:ascii="Times New Roman" w:eastAsia="Times New Roman" w:hAnsi="Times New Roman" w:cs="Times New Roman"/>
          <w:color w:val="000000" w:themeColor="text1"/>
          <w:sz w:val="24"/>
          <w:szCs w:val="24"/>
          <w:lang w:eastAsia="en-GB"/>
        </w:rPr>
        <w:t>tudies. The variable studied include</w:t>
      </w:r>
      <w:r w:rsidRPr="0011531B">
        <w:rPr>
          <w:rFonts w:ascii="Times New Roman" w:eastAsia="Times New Roman" w:hAnsi="Times New Roman" w:cs="Times New Roman"/>
          <w:color w:val="000000" w:themeColor="text1"/>
          <w:sz w:val="24"/>
          <w:szCs w:val="24"/>
          <w:lang w:eastAsia="en-GB"/>
        </w:rPr>
        <w:t xml:space="preserve"> ages, careers stated during </w:t>
      </w:r>
      <w:r w:rsidR="00943854" w:rsidRPr="0011531B">
        <w:rPr>
          <w:rFonts w:ascii="Times New Roman" w:eastAsia="Times New Roman" w:hAnsi="Times New Roman" w:cs="Times New Roman"/>
          <w:color w:val="000000" w:themeColor="text1"/>
          <w:sz w:val="24"/>
          <w:szCs w:val="24"/>
          <w:lang w:eastAsia="en-GB"/>
        </w:rPr>
        <w:t>the 1</w:t>
      </w:r>
      <w:r w:rsidR="00943854" w:rsidRPr="0011531B">
        <w:rPr>
          <w:rFonts w:ascii="Times New Roman" w:eastAsia="Times New Roman" w:hAnsi="Times New Roman" w:cs="Times New Roman"/>
          <w:color w:val="000000" w:themeColor="text1"/>
          <w:sz w:val="24"/>
          <w:szCs w:val="24"/>
          <w:vertAlign w:val="superscript"/>
          <w:lang w:eastAsia="en-GB"/>
        </w:rPr>
        <w:t>st</w:t>
      </w:r>
      <w:r w:rsidR="00943854" w:rsidRPr="0011531B">
        <w:rPr>
          <w:rFonts w:ascii="Times New Roman" w:eastAsia="Times New Roman" w:hAnsi="Times New Roman" w:cs="Times New Roman"/>
          <w:color w:val="000000" w:themeColor="text1"/>
          <w:sz w:val="24"/>
          <w:szCs w:val="24"/>
          <w:lang w:eastAsia="en-GB"/>
        </w:rPr>
        <w:t xml:space="preserve"> year of teaching, having kids, ethnicities, genders, levels of educations, marital position, the occupations of the parent, and preparation type. Because </w:t>
      </w:r>
      <w:r w:rsidR="00E47B32" w:rsidRPr="0011531B">
        <w:rPr>
          <w:rFonts w:ascii="Times New Roman" w:eastAsia="Times New Roman" w:hAnsi="Times New Roman" w:cs="Times New Roman"/>
          <w:color w:val="000000" w:themeColor="text1"/>
          <w:sz w:val="24"/>
          <w:szCs w:val="24"/>
          <w:lang w:eastAsia="en-GB"/>
        </w:rPr>
        <w:t xml:space="preserve">of </w:t>
      </w:r>
      <w:r w:rsidR="00943854" w:rsidRPr="0011531B">
        <w:rPr>
          <w:rFonts w:ascii="Times New Roman" w:eastAsia="Times New Roman" w:hAnsi="Times New Roman" w:cs="Times New Roman"/>
          <w:color w:val="000000" w:themeColor="text1"/>
          <w:sz w:val="24"/>
          <w:szCs w:val="24"/>
          <w:lang w:eastAsia="en-GB"/>
        </w:rPr>
        <w:t>the results relating to the type of preparation to retentions, the data were further analysed by use of quantitative methods to test the correlations and statistic importance between retentions and teacher preparations</w:t>
      </w:r>
      <w:r w:rsidR="00E47B32" w:rsidRPr="0011531B">
        <w:rPr>
          <w:rFonts w:ascii="Times New Roman" w:eastAsia="Times New Roman" w:hAnsi="Times New Roman" w:cs="Times New Roman"/>
          <w:color w:val="000000" w:themeColor="text1"/>
          <w:sz w:val="24"/>
          <w:szCs w:val="24"/>
          <w:lang w:eastAsia="en-GB"/>
        </w:rPr>
        <w:t>.</w:t>
      </w:r>
      <w:r w:rsidR="0075415B">
        <w:rPr>
          <w:rFonts w:ascii="Times New Roman" w:eastAsia="Times New Roman" w:hAnsi="Times New Roman" w:cs="Times New Roman"/>
          <w:color w:val="000000" w:themeColor="text1"/>
          <w:sz w:val="24"/>
          <w:szCs w:val="24"/>
          <w:lang w:eastAsia="en-GB"/>
        </w:rPr>
        <w:t xml:space="preserve"> </w:t>
      </w:r>
      <w:r w:rsidRPr="0011531B">
        <w:rPr>
          <w:rFonts w:ascii="Times New Roman" w:eastAsia="Times New Roman" w:hAnsi="Times New Roman" w:cs="Times New Roman"/>
          <w:color w:val="000000" w:themeColor="text1"/>
          <w:sz w:val="24"/>
          <w:szCs w:val="24"/>
          <w:lang w:eastAsia="en-GB"/>
        </w:rPr>
        <w:t>The</w:t>
      </w:r>
      <w:r w:rsidR="00492A20" w:rsidRPr="0011531B">
        <w:rPr>
          <w:rFonts w:ascii="Times New Roman" w:eastAsia="Times New Roman" w:hAnsi="Times New Roman" w:cs="Times New Roman"/>
          <w:color w:val="000000" w:themeColor="text1"/>
          <w:sz w:val="24"/>
          <w:szCs w:val="24"/>
          <w:lang w:eastAsia="en-GB"/>
        </w:rPr>
        <w:t xml:space="preserve"> study narrowed </w:t>
      </w:r>
      <w:r w:rsidR="00D0649B" w:rsidRPr="0011531B">
        <w:rPr>
          <w:rFonts w:ascii="Times New Roman" w:eastAsia="Times New Roman" w:hAnsi="Times New Roman" w:cs="Times New Roman"/>
          <w:color w:val="000000" w:themeColor="text1"/>
          <w:sz w:val="24"/>
          <w:szCs w:val="24"/>
          <w:lang w:eastAsia="en-GB"/>
        </w:rPr>
        <w:t>to relationships between preparation of teacher and retention rate</w:t>
      </w:r>
      <w:r w:rsidR="00D01E64" w:rsidRPr="0011531B">
        <w:rPr>
          <w:rFonts w:ascii="Times New Roman" w:eastAsia="Times New Roman" w:hAnsi="Times New Roman" w:cs="Times New Roman"/>
          <w:color w:val="000000" w:themeColor="text1"/>
          <w:sz w:val="24"/>
          <w:szCs w:val="24"/>
          <w:lang w:eastAsia="en-GB"/>
        </w:rPr>
        <w:t xml:space="preserve"> (Boyd, et al. 2011)</w:t>
      </w:r>
      <w:r w:rsidR="00D0649B" w:rsidRPr="0011531B">
        <w:rPr>
          <w:rFonts w:ascii="Times New Roman" w:eastAsia="Times New Roman" w:hAnsi="Times New Roman" w:cs="Times New Roman"/>
          <w:color w:val="000000" w:themeColor="text1"/>
          <w:sz w:val="24"/>
          <w:szCs w:val="24"/>
          <w:lang w:eastAsia="en-GB"/>
        </w:rPr>
        <w:t xml:space="preserve">. The research also studied the probability based on types of preparations. </w:t>
      </w:r>
    </w:p>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Creation of fictitious data set</w:t>
      </w:r>
    </w:p>
    <w:p w:rsidR="00A7215D"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19 interviewees were 2</w:t>
      </w:r>
      <w:r w:rsidRPr="0011531B">
        <w:rPr>
          <w:rFonts w:ascii="Times New Roman" w:eastAsia="Times New Roman" w:hAnsi="Times New Roman" w:cs="Times New Roman"/>
          <w:color w:val="000000" w:themeColor="text1"/>
          <w:sz w:val="24"/>
          <w:szCs w:val="24"/>
          <w:vertAlign w:val="superscript"/>
          <w:lang w:eastAsia="en-GB"/>
        </w:rPr>
        <w:t>nd</w:t>
      </w:r>
      <w:r w:rsidRPr="0011531B">
        <w:rPr>
          <w:rFonts w:ascii="Times New Roman" w:eastAsia="Times New Roman" w:hAnsi="Times New Roman" w:cs="Times New Roman"/>
          <w:color w:val="000000" w:themeColor="text1"/>
          <w:sz w:val="24"/>
          <w:szCs w:val="24"/>
          <w:lang w:eastAsia="en-GB"/>
        </w:rPr>
        <w:t>-year teachers and the remaining 41 were 1</w:t>
      </w:r>
      <w:r w:rsidRPr="0011531B">
        <w:rPr>
          <w:rFonts w:ascii="Times New Roman" w:eastAsia="Times New Roman" w:hAnsi="Times New Roman" w:cs="Times New Roman"/>
          <w:color w:val="000000" w:themeColor="text1"/>
          <w:sz w:val="24"/>
          <w:szCs w:val="24"/>
          <w:vertAlign w:val="superscript"/>
          <w:lang w:eastAsia="en-GB"/>
        </w:rPr>
        <w:t>st</w:t>
      </w:r>
      <w:r w:rsidRPr="0011531B">
        <w:rPr>
          <w:rFonts w:ascii="Times New Roman" w:eastAsia="Times New Roman" w:hAnsi="Times New Roman" w:cs="Times New Roman"/>
          <w:color w:val="000000" w:themeColor="text1"/>
          <w:sz w:val="24"/>
          <w:szCs w:val="24"/>
          <w:lang w:eastAsia="en-GB"/>
        </w:rPr>
        <w:t>-year teachers among the sixty interviewees</w:t>
      </w:r>
      <w:r w:rsidR="00272FBC" w:rsidRPr="0011531B">
        <w:rPr>
          <w:rFonts w:ascii="Times New Roman" w:eastAsia="Times New Roman" w:hAnsi="Times New Roman" w:cs="Times New Roman"/>
          <w:color w:val="000000" w:themeColor="text1"/>
          <w:sz w:val="24"/>
          <w:szCs w:val="24"/>
          <w:lang w:eastAsia="en-GB"/>
        </w:rPr>
        <w:t xml:space="preserve"> (Hughes, Matt, &amp; O'Reilly, 2015)</w:t>
      </w:r>
      <w:r w:rsidRPr="0011531B">
        <w:rPr>
          <w:rFonts w:ascii="Times New Roman" w:eastAsia="Times New Roman" w:hAnsi="Times New Roman" w:cs="Times New Roman"/>
          <w:color w:val="000000" w:themeColor="text1"/>
          <w:sz w:val="24"/>
          <w:szCs w:val="24"/>
          <w:lang w:eastAsia="en-GB"/>
        </w:rPr>
        <w:t>. The interviewees were a representation of a mix of settings of suburban, urban, or rural school in the North-Eastern Carolina. Demographic data and other appropriate details (occupation of a parent, level taught, and discipline taught) were gathered. The 22-questions protocol of interview was embraced.</w:t>
      </w:r>
      <w:r w:rsidR="00BD0E1B" w:rsidRPr="0011531B">
        <w:rPr>
          <w:rFonts w:ascii="Times New Roman" w:eastAsia="Times New Roman" w:hAnsi="Times New Roman" w:cs="Times New Roman"/>
          <w:color w:val="000000" w:themeColor="text1"/>
          <w:sz w:val="24"/>
          <w:szCs w:val="24"/>
          <w:lang w:eastAsia="en-GB"/>
        </w:rPr>
        <w:t xml:space="preserve"> For </w:t>
      </w:r>
      <w:r w:rsidR="00D52ADD" w:rsidRPr="0011531B">
        <w:rPr>
          <w:rFonts w:ascii="Times New Roman" w:eastAsia="Times New Roman" w:hAnsi="Times New Roman" w:cs="Times New Roman"/>
          <w:color w:val="000000" w:themeColor="text1"/>
          <w:sz w:val="24"/>
          <w:szCs w:val="24"/>
          <w:lang w:eastAsia="en-GB"/>
        </w:rPr>
        <w:t>qualitative analysis of data, all</w:t>
      </w:r>
      <w:r w:rsidR="00BD0E1B" w:rsidRPr="0011531B">
        <w:rPr>
          <w:rFonts w:ascii="Times New Roman" w:eastAsia="Times New Roman" w:hAnsi="Times New Roman" w:cs="Times New Roman"/>
          <w:color w:val="000000" w:themeColor="text1"/>
          <w:sz w:val="24"/>
          <w:szCs w:val="24"/>
          <w:lang w:eastAsia="en-GB"/>
        </w:rPr>
        <w:t xml:space="preserve"> of the interviews were audio-taped and imported and transcribed</w:t>
      </w:r>
      <w:r w:rsidR="00D52ADD" w:rsidRPr="0011531B">
        <w:rPr>
          <w:rFonts w:ascii="Times New Roman" w:eastAsia="Times New Roman" w:hAnsi="Times New Roman" w:cs="Times New Roman"/>
          <w:color w:val="000000" w:themeColor="text1"/>
          <w:sz w:val="24"/>
          <w:szCs w:val="24"/>
          <w:lang w:eastAsia="en-GB"/>
        </w:rPr>
        <w:t xml:space="preserve"> into NVivo</w:t>
      </w:r>
      <w:r w:rsidR="00BD0E1B" w:rsidRPr="0011531B">
        <w:rPr>
          <w:rFonts w:ascii="Times New Roman" w:eastAsia="Times New Roman" w:hAnsi="Times New Roman" w:cs="Times New Roman"/>
          <w:color w:val="000000" w:themeColor="text1"/>
          <w:sz w:val="24"/>
          <w:szCs w:val="24"/>
          <w:lang w:eastAsia="en-GB"/>
        </w:rPr>
        <w:t xml:space="preserve">. </w:t>
      </w:r>
      <w:r w:rsidR="00D52ADD" w:rsidRPr="0011531B">
        <w:rPr>
          <w:rFonts w:ascii="Times New Roman" w:eastAsia="Times New Roman" w:hAnsi="Times New Roman" w:cs="Times New Roman"/>
          <w:color w:val="000000" w:themeColor="text1"/>
          <w:sz w:val="24"/>
          <w:szCs w:val="24"/>
          <w:lang w:eastAsia="en-GB"/>
        </w:rPr>
        <w:t>NVivos are highly advanced programs that support analysis of data qualitatively</w:t>
      </w:r>
      <w:r w:rsidR="00272FBC" w:rsidRPr="0011531B">
        <w:rPr>
          <w:rFonts w:ascii="Times New Roman" w:eastAsia="Times New Roman" w:hAnsi="Times New Roman" w:cs="Times New Roman"/>
          <w:color w:val="000000" w:themeColor="text1"/>
          <w:sz w:val="24"/>
          <w:szCs w:val="24"/>
          <w:lang w:eastAsia="en-GB"/>
        </w:rPr>
        <w:t xml:space="preserve"> (Papay, et al. 2017)</w:t>
      </w:r>
      <w:r w:rsidR="00D52ADD" w:rsidRPr="0011531B">
        <w:rPr>
          <w:rFonts w:ascii="Times New Roman" w:eastAsia="Times New Roman" w:hAnsi="Times New Roman" w:cs="Times New Roman"/>
          <w:color w:val="000000" w:themeColor="text1"/>
          <w:sz w:val="24"/>
          <w:szCs w:val="24"/>
          <w:lang w:eastAsia="en-GB"/>
        </w:rPr>
        <w:t xml:space="preserve">. The software allows for the interview data manipulation and permits the researcher to visually link and code interviews. It assigns traits to all interviews immediately the data is transferred. The strongest NVivo feature is its function, search, or query that allows the researcher to search by attribute, code, text, and combinations of the variable. </w:t>
      </w:r>
      <w:r w:rsidR="00684305" w:rsidRPr="0011531B">
        <w:rPr>
          <w:rFonts w:ascii="Times New Roman" w:eastAsia="Times New Roman" w:hAnsi="Times New Roman" w:cs="Times New Roman"/>
          <w:color w:val="000000" w:themeColor="text1"/>
          <w:sz w:val="24"/>
          <w:szCs w:val="24"/>
          <w:lang w:eastAsia="en-GB"/>
        </w:rPr>
        <w:t>18 interviewees were NC Teach teachers, 22 were regularly prepared educators, and 20 were horizontal entry educators of the 60 interviewees.</w:t>
      </w:r>
      <w:r w:rsidRPr="0011531B">
        <w:rPr>
          <w:rFonts w:ascii="Times New Roman" w:eastAsia="Times New Roman" w:hAnsi="Times New Roman" w:cs="Times New Roman"/>
          <w:color w:val="000000" w:themeColor="text1"/>
          <w:sz w:val="24"/>
          <w:szCs w:val="24"/>
          <w:lang w:eastAsia="en-GB"/>
        </w:rPr>
        <w:t>Table 1 cross-categorizes the 2</w:t>
      </w:r>
      <w:r w:rsidRPr="0011531B">
        <w:rPr>
          <w:rFonts w:ascii="Times New Roman" w:eastAsia="Times New Roman" w:hAnsi="Times New Roman" w:cs="Times New Roman"/>
          <w:color w:val="000000" w:themeColor="text1"/>
          <w:sz w:val="24"/>
          <w:szCs w:val="24"/>
          <w:vertAlign w:val="superscript"/>
          <w:lang w:eastAsia="en-GB"/>
        </w:rPr>
        <w:t>nd</w:t>
      </w:r>
      <w:r w:rsidRPr="0011531B">
        <w:rPr>
          <w:rFonts w:ascii="Times New Roman" w:eastAsia="Times New Roman" w:hAnsi="Times New Roman" w:cs="Times New Roman"/>
          <w:color w:val="000000" w:themeColor="text1"/>
          <w:sz w:val="24"/>
          <w:szCs w:val="24"/>
          <w:lang w:eastAsia="en-GB"/>
        </w:rPr>
        <w:t xml:space="preserve"> year, 3rd years and 7</w:t>
      </w:r>
      <w:r w:rsidRPr="0011531B">
        <w:rPr>
          <w:rFonts w:ascii="Times New Roman" w:eastAsia="Times New Roman" w:hAnsi="Times New Roman" w:cs="Times New Roman"/>
          <w:color w:val="000000" w:themeColor="text1"/>
          <w:sz w:val="24"/>
          <w:szCs w:val="24"/>
          <w:vertAlign w:val="superscript"/>
          <w:lang w:eastAsia="en-GB"/>
        </w:rPr>
        <w:t>th</w:t>
      </w:r>
      <w:r w:rsidRPr="0011531B">
        <w:rPr>
          <w:rFonts w:ascii="Times New Roman" w:eastAsia="Times New Roman" w:hAnsi="Times New Roman" w:cs="Times New Roman"/>
          <w:color w:val="000000" w:themeColor="text1"/>
          <w:sz w:val="24"/>
          <w:szCs w:val="24"/>
          <w:lang w:eastAsia="en-GB"/>
        </w:rPr>
        <w:t xml:space="preserve"> year data of teacher retention in accordance with the status of retention and preparation types. For instance, for the horizontal entry type, twelve out of eighteen tutors were still teaching</w:t>
      </w:r>
      <w:r w:rsidR="00822DD4" w:rsidRPr="0011531B">
        <w:rPr>
          <w:rFonts w:ascii="Times New Roman" w:eastAsia="Times New Roman" w:hAnsi="Times New Roman" w:cs="Times New Roman"/>
          <w:color w:val="000000" w:themeColor="text1"/>
          <w:sz w:val="24"/>
          <w:szCs w:val="24"/>
          <w:lang w:eastAsia="en-GB"/>
        </w:rPr>
        <w:t xml:space="preserve"> (West, et al. 2016)</w:t>
      </w:r>
      <w:r w:rsidRPr="0011531B">
        <w:rPr>
          <w:rFonts w:ascii="Times New Roman" w:eastAsia="Times New Roman" w:hAnsi="Times New Roman" w:cs="Times New Roman"/>
          <w:color w:val="000000" w:themeColor="text1"/>
          <w:sz w:val="24"/>
          <w:szCs w:val="24"/>
          <w:lang w:eastAsia="en-GB"/>
        </w:rPr>
        <w:t>. Six had quitted teaching. For the type of NC Teach, seventeen out of eighteen were still teaching. Only one had quit teaching.</w:t>
      </w:r>
    </w:p>
    <w:p w:rsidR="00A84DAE"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Based on the data, the percentages are computed and numerically reported table and represented as a graph in fig. 1</w:t>
      </w:r>
      <w:r w:rsidR="00822DD4" w:rsidRPr="0011531B">
        <w:rPr>
          <w:rFonts w:ascii="Times New Roman" w:hAnsi="Times New Roman" w:cs="Times New Roman"/>
          <w:color w:val="000000" w:themeColor="text1"/>
          <w:sz w:val="24"/>
          <w:szCs w:val="24"/>
        </w:rPr>
        <w:t>(Zhang &amp; Zeller, 2016)</w:t>
      </w:r>
      <w:r w:rsidRPr="0011531B">
        <w:rPr>
          <w:rFonts w:ascii="Times New Roman" w:eastAsia="Times New Roman" w:hAnsi="Times New Roman" w:cs="Times New Roman"/>
          <w:color w:val="000000" w:themeColor="text1"/>
          <w:sz w:val="24"/>
          <w:szCs w:val="24"/>
          <w:lang w:eastAsia="en-GB"/>
        </w:rPr>
        <w:t xml:space="preserve">. It is significant to know for such data if a relationship exists between retention and types of teacher preparation. </w:t>
      </w:r>
      <w:r w:rsidR="008F0C23" w:rsidRPr="0011531B">
        <w:rPr>
          <w:rFonts w:ascii="Times New Roman" w:eastAsia="Times New Roman" w:hAnsi="Times New Roman" w:cs="Times New Roman"/>
          <w:color w:val="000000" w:themeColor="text1"/>
          <w:sz w:val="24"/>
          <w:szCs w:val="24"/>
          <w:lang w:eastAsia="en-GB"/>
        </w:rPr>
        <w:t xml:space="preserve">The data revealed if the type of preparation </w:t>
      </w:r>
      <w:r w:rsidR="007E6BD5" w:rsidRPr="0011531B">
        <w:rPr>
          <w:rFonts w:ascii="Times New Roman" w:eastAsia="Times New Roman" w:hAnsi="Times New Roman" w:cs="Times New Roman"/>
          <w:color w:val="000000" w:themeColor="text1"/>
          <w:sz w:val="24"/>
          <w:szCs w:val="24"/>
          <w:lang w:eastAsia="en-GB"/>
        </w:rPr>
        <w:t>is a factor which influences</w:t>
      </w:r>
      <w:r w:rsidR="008F0C23" w:rsidRPr="0011531B">
        <w:rPr>
          <w:rFonts w:ascii="Times New Roman" w:eastAsia="Times New Roman" w:hAnsi="Times New Roman" w:cs="Times New Roman"/>
          <w:color w:val="000000" w:themeColor="text1"/>
          <w:sz w:val="24"/>
          <w:szCs w:val="24"/>
          <w:lang w:eastAsia="en-GB"/>
        </w:rPr>
        <w:t xml:space="preserve"> the retention of teachers. More</w:t>
      </w:r>
      <w:r w:rsidR="00586546" w:rsidRPr="0011531B">
        <w:rPr>
          <w:rFonts w:ascii="Times New Roman" w:eastAsia="Times New Roman" w:hAnsi="Times New Roman" w:cs="Times New Roman"/>
          <w:color w:val="000000" w:themeColor="text1"/>
          <w:sz w:val="24"/>
          <w:szCs w:val="24"/>
          <w:lang w:eastAsia="en-GB"/>
        </w:rPr>
        <w:t>over</w:t>
      </w:r>
      <w:r w:rsidR="008F0C23" w:rsidRPr="0011531B">
        <w:rPr>
          <w:rFonts w:ascii="Times New Roman" w:eastAsia="Times New Roman" w:hAnsi="Times New Roman" w:cs="Times New Roman"/>
          <w:color w:val="000000" w:themeColor="text1"/>
          <w:sz w:val="24"/>
          <w:szCs w:val="24"/>
          <w:lang w:eastAsia="en-GB"/>
        </w:rPr>
        <w:t xml:space="preserve">, the data revealed if teachers prepared by a single technique more likely </w:t>
      </w:r>
      <w:r w:rsidR="00586546" w:rsidRPr="0011531B">
        <w:rPr>
          <w:rFonts w:ascii="Times New Roman" w:eastAsia="Times New Roman" w:hAnsi="Times New Roman" w:cs="Times New Roman"/>
          <w:color w:val="000000" w:themeColor="text1"/>
          <w:sz w:val="24"/>
          <w:szCs w:val="24"/>
          <w:lang w:eastAsia="en-GB"/>
        </w:rPr>
        <w:t xml:space="preserve">to remain in teaching </w:t>
      </w:r>
      <w:r w:rsidR="007E6BD5" w:rsidRPr="0011531B">
        <w:rPr>
          <w:rFonts w:ascii="Times New Roman" w:eastAsia="Times New Roman" w:hAnsi="Times New Roman" w:cs="Times New Roman"/>
          <w:color w:val="000000" w:themeColor="text1"/>
          <w:sz w:val="24"/>
          <w:szCs w:val="24"/>
          <w:lang w:eastAsia="en-GB"/>
        </w:rPr>
        <w:t>career</w:t>
      </w:r>
      <w:r w:rsidR="00586546" w:rsidRPr="0011531B">
        <w:rPr>
          <w:rFonts w:ascii="Times New Roman" w:eastAsia="Times New Roman" w:hAnsi="Times New Roman" w:cs="Times New Roman"/>
          <w:color w:val="000000" w:themeColor="text1"/>
          <w:sz w:val="24"/>
          <w:szCs w:val="24"/>
          <w:lang w:eastAsia="en-GB"/>
        </w:rPr>
        <w:t xml:space="preserve"> as compared to those prepared by various methods</w:t>
      </w:r>
      <w:r w:rsidR="00D01E64" w:rsidRPr="0011531B">
        <w:rPr>
          <w:rFonts w:ascii="Times New Roman" w:eastAsia="Times New Roman" w:hAnsi="Times New Roman" w:cs="Times New Roman"/>
          <w:color w:val="000000" w:themeColor="text1"/>
          <w:sz w:val="24"/>
          <w:szCs w:val="24"/>
          <w:lang w:eastAsia="en-GB"/>
        </w:rPr>
        <w:t xml:space="preserve"> (Billingsley, 2004)</w:t>
      </w:r>
      <w:r w:rsidR="00586546" w:rsidRPr="0011531B">
        <w:rPr>
          <w:rFonts w:ascii="Times New Roman" w:eastAsia="Times New Roman" w:hAnsi="Times New Roman" w:cs="Times New Roman"/>
          <w:color w:val="000000" w:themeColor="text1"/>
          <w:sz w:val="24"/>
          <w:szCs w:val="24"/>
          <w:lang w:eastAsia="en-GB"/>
        </w:rPr>
        <w:t>. In addition</w:t>
      </w:r>
      <w:r w:rsidR="007E6BD5" w:rsidRPr="0011531B">
        <w:rPr>
          <w:rFonts w:ascii="Times New Roman" w:eastAsia="Times New Roman" w:hAnsi="Times New Roman" w:cs="Times New Roman"/>
          <w:color w:val="000000" w:themeColor="text1"/>
          <w:sz w:val="24"/>
          <w:szCs w:val="24"/>
          <w:lang w:eastAsia="en-GB"/>
        </w:rPr>
        <w:t>,</w:t>
      </w:r>
      <w:r w:rsidR="00586546" w:rsidRPr="0011531B">
        <w:rPr>
          <w:rFonts w:ascii="Times New Roman" w:eastAsia="Times New Roman" w:hAnsi="Times New Roman" w:cs="Times New Roman"/>
          <w:color w:val="000000" w:themeColor="text1"/>
          <w:sz w:val="24"/>
          <w:szCs w:val="24"/>
          <w:lang w:eastAsia="en-GB"/>
        </w:rPr>
        <w:t xml:space="preserve"> the data revealed if the teachers are equally likely to remain in the teaching field irrespective of the way they are prepared.</w:t>
      </w:r>
    </w:p>
    <w:p w:rsidR="009F5F51"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Table 1 Retention Cross-Classification in Years </w:t>
      </w:r>
      <w:r w:rsidR="00B142D6" w:rsidRPr="0011531B">
        <w:rPr>
          <w:rFonts w:ascii="Times New Roman" w:eastAsia="Times New Roman" w:hAnsi="Times New Roman" w:cs="Times New Roman"/>
          <w:color w:val="000000" w:themeColor="text1"/>
          <w:sz w:val="24"/>
          <w:szCs w:val="24"/>
          <w:lang w:eastAsia="en-GB"/>
        </w:rPr>
        <w:t>2</w:t>
      </w:r>
      <w:r w:rsidR="00B142D6" w:rsidRPr="0011531B">
        <w:rPr>
          <w:rFonts w:ascii="Times New Roman" w:eastAsia="Times New Roman" w:hAnsi="Times New Roman" w:cs="Times New Roman"/>
          <w:color w:val="000000" w:themeColor="text1"/>
          <w:sz w:val="24"/>
          <w:szCs w:val="24"/>
          <w:vertAlign w:val="superscript"/>
          <w:lang w:eastAsia="en-GB"/>
        </w:rPr>
        <w:t>nd</w:t>
      </w:r>
      <w:r w:rsidR="00B142D6" w:rsidRPr="0011531B">
        <w:rPr>
          <w:rFonts w:ascii="Times New Roman" w:eastAsia="Times New Roman" w:hAnsi="Times New Roman" w:cs="Times New Roman"/>
          <w:color w:val="000000" w:themeColor="text1"/>
          <w:sz w:val="24"/>
          <w:szCs w:val="24"/>
          <w:lang w:eastAsia="en-GB"/>
        </w:rPr>
        <w:t>,</w:t>
      </w:r>
      <w:r w:rsidRPr="0011531B">
        <w:rPr>
          <w:rFonts w:ascii="Times New Roman" w:eastAsia="Times New Roman" w:hAnsi="Times New Roman" w:cs="Times New Roman"/>
          <w:color w:val="000000" w:themeColor="text1"/>
          <w:sz w:val="24"/>
          <w:szCs w:val="24"/>
          <w:lang w:eastAsia="en-GB"/>
        </w:rPr>
        <w:t xml:space="preserve"> 3</w:t>
      </w:r>
      <w:r w:rsidRPr="0011531B">
        <w:rPr>
          <w:rFonts w:ascii="Times New Roman" w:eastAsia="Times New Roman" w:hAnsi="Times New Roman" w:cs="Times New Roman"/>
          <w:color w:val="000000" w:themeColor="text1"/>
          <w:sz w:val="24"/>
          <w:szCs w:val="24"/>
          <w:vertAlign w:val="superscript"/>
          <w:lang w:eastAsia="en-GB"/>
        </w:rPr>
        <w:t>rd</w:t>
      </w:r>
      <w:r w:rsidRPr="0011531B">
        <w:rPr>
          <w:rFonts w:ascii="Times New Roman" w:eastAsia="Times New Roman" w:hAnsi="Times New Roman" w:cs="Times New Roman"/>
          <w:color w:val="000000" w:themeColor="text1"/>
          <w:sz w:val="24"/>
          <w:szCs w:val="24"/>
          <w:lang w:eastAsia="en-GB"/>
        </w:rPr>
        <w:t>, and 7</w:t>
      </w:r>
      <w:r w:rsidRPr="0011531B">
        <w:rPr>
          <w:rFonts w:ascii="Times New Roman" w:eastAsia="Times New Roman" w:hAnsi="Times New Roman" w:cs="Times New Roman"/>
          <w:color w:val="000000" w:themeColor="text1"/>
          <w:sz w:val="24"/>
          <w:szCs w:val="24"/>
          <w:vertAlign w:val="superscript"/>
          <w:lang w:eastAsia="en-GB"/>
        </w:rPr>
        <w:t>th</w:t>
      </w:r>
      <w:r w:rsidRPr="0011531B">
        <w:rPr>
          <w:rFonts w:ascii="Times New Roman" w:eastAsia="Times New Roman" w:hAnsi="Times New Roman" w:cs="Times New Roman"/>
          <w:color w:val="000000" w:themeColor="text1"/>
          <w:sz w:val="24"/>
          <w:szCs w:val="24"/>
          <w:lang w:eastAsia="en-GB"/>
        </w:rPr>
        <w:t xml:space="preserve"> by Preparation Type </w:t>
      </w:r>
    </w:p>
    <w:p w:rsidR="009F5F51"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Retained and left the profession</w:t>
      </w:r>
    </w:p>
    <w:tbl>
      <w:tblPr>
        <w:tblStyle w:val="TableGrid"/>
        <w:tblW w:w="0" w:type="auto"/>
        <w:tblInd w:w="738" w:type="dxa"/>
        <w:tblLook w:val="04A0"/>
      </w:tblPr>
      <w:tblGrid>
        <w:gridCol w:w="3600"/>
        <w:gridCol w:w="1823"/>
        <w:gridCol w:w="1777"/>
      </w:tblGrid>
      <w:tr w:rsidR="00051A18" w:rsidRPr="0011531B" w:rsidTr="00AD20D5">
        <w:tc>
          <w:tcPr>
            <w:tcW w:w="3600"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Type of Preparation </w:t>
            </w:r>
          </w:p>
        </w:tc>
        <w:tc>
          <w:tcPr>
            <w:tcW w:w="1823"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Retained </w:t>
            </w:r>
          </w:p>
        </w:tc>
        <w:tc>
          <w:tcPr>
            <w:tcW w:w="1777"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Left </w:t>
            </w:r>
          </w:p>
        </w:tc>
      </w:tr>
      <w:tr w:rsidR="00051A18" w:rsidRPr="0011531B" w:rsidTr="00AD20D5">
        <w:tc>
          <w:tcPr>
            <w:tcW w:w="3600"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Year two</w:t>
            </w:r>
          </w:p>
        </w:tc>
        <w:tc>
          <w:tcPr>
            <w:tcW w:w="1823" w:type="dxa"/>
          </w:tcPr>
          <w:p w:rsidR="002E38D0" w:rsidRPr="0011531B" w:rsidRDefault="002E38D0" w:rsidP="0011531B">
            <w:pPr>
              <w:spacing w:line="480" w:lineRule="auto"/>
              <w:rPr>
                <w:rFonts w:ascii="Times New Roman" w:eastAsia="Times New Roman" w:hAnsi="Times New Roman" w:cs="Times New Roman"/>
                <w:color w:val="000000" w:themeColor="text1"/>
                <w:sz w:val="24"/>
                <w:szCs w:val="24"/>
                <w:lang w:eastAsia="en-GB"/>
              </w:rPr>
            </w:pPr>
          </w:p>
        </w:tc>
        <w:tc>
          <w:tcPr>
            <w:tcW w:w="1777" w:type="dxa"/>
          </w:tcPr>
          <w:p w:rsidR="002E38D0" w:rsidRPr="0011531B" w:rsidRDefault="002E38D0" w:rsidP="0011531B">
            <w:pPr>
              <w:spacing w:line="480" w:lineRule="auto"/>
              <w:rPr>
                <w:rFonts w:ascii="Times New Roman" w:eastAsia="Times New Roman" w:hAnsi="Times New Roman" w:cs="Times New Roman"/>
                <w:color w:val="000000" w:themeColor="text1"/>
                <w:sz w:val="24"/>
                <w:szCs w:val="24"/>
                <w:lang w:eastAsia="en-GB"/>
              </w:rPr>
            </w:pPr>
          </w:p>
        </w:tc>
      </w:tr>
      <w:tr w:rsidR="00051A18" w:rsidRPr="0011531B" w:rsidTr="00AD20D5">
        <w:tc>
          <w:tcPr>
            <w:tcW w:w="3600"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NC Teach</w:t>
            </w:r>
          </w:p>
        </w:tc>
        <w:tc>
          <w:tcPr>
            <w:tcW w:w="1823"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17</w:t>
            </w:r>
          </w:p>
        </w:tc>
        <w:tc>
          <w:tcPr>
            <w:tcW w:w="1777"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w:t>
            </w:r>
          </w:p>
        </w:tc>
      </w:tr>
      <w:tr w:rsidR="00051A18" w:rsidRPr="0011531B" w:rsidTr="00AD20D5">
        <w:tc>
          <w:tcPr>
            <w:tcW w:w="3600"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Lateral entry</w:t>
            </w:r>
          </w:p>
        </w:tc>
        <w:tc>
          <w:tcPr>
            <w:tcW w:w="1823"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12</w:t>
            </w:r>
          </w:p>
        </w:tc>
        <w:tc>
          <w:tcPr>
            <w:tcW w:w="1777"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w:t>
            </w:r>
          </w:p>
        </w:tc>
      </w:tr>
      <w:tr w:rsidR="00051A18" w:rsidRPr="0011531B" w:rsidTr="00AD20D5">
        <w:tc>
          <w:tcPr>
            <w:tcW w:w="3600"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Regular</w:t>
            </w:r>
          </w:p>
        </w:tc>
        <w:tc>
          <w:tcPr>
            <w:tcW w:w="1823"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19</w:t>
            </w:r>
          </w:p>
        </w:tc>
        <w:tc>
          <w:tcPr>
            <w:tcW w:w="1777"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w:t>
            </w:r>
          </w:p>
        </w:tc>
      </w:tr>
      <w:tr w:rsidR="00051A18" w:rsidRPr="0011531B" w:rsidTr="00AD20D5">
        <w:tc>
          <w:tcPr>
            <w:tcW w:w="3600" w:type="dxa"/>
          </w:tcPr>
          <w:p w:rsidR="002E38D0"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Year 3</w:t>
            </w:r>
          </w:p>
        </w:tc>
        <w:tc>
          <w:tcPr>
            <w:tcW w:w="1823" w:type="dxa"/>
          </w:tcPr>
          <w:p w:rsidR="002E38D0" w:rsidRPr="0011531B" w:rsidRDefault="002E38D0" w:rsidP="0011531B">
            <w:pPr>
              <w:spacing w:line="480" w:lineRule="auto"/>
              <w:rPr>
                <w:rFonts w:ascii="Times New Roman" w:eastAsia="Times New Roman" w:hAnsi="Times New Roman" w:cs="Times New Roman"/>
                <w:color w:val="000000" w:themeColor="text1"/>
                <w:sz w:val="24"/>
                <w:szCs w:val="24"/>
                <w:lang w:eastAsia="en-GB"/>
              </w:rPr>
            </w:pPr>
          </w:p>
        </w:tc>
        <w:tc>
          <w:tcPr>
            <w:tcW w:w="1777" w:type="dxa"/>
          </w:tcPr>
          <w:p w:rsidR="002E38D0" w:rsidRPr="0011531B" w:rsidRDefault="002E38D0" w:rsidP="0011531B">
            <w:pPr>
              <w:spacing w:line="480" w:lineRule="auto"/>
              <w:rPr>
                <w:rFonts w:ascii="Times New Roman" w:eastAsia="Times New Roman" w:hAnsi="Times New Roman" w:cs="Times New Roman"/>
                <w:color w:val="000000" w:themeColor="text1"/>
                <w:sz w:val="24"/>
                <w:szCs w:val="24"/>
                <w:lang w:eastAsia="en-GB"/>
              </w:rPr>
            </w:pP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NC Teach</w:t>
            </w:r>
          </w:p>
        </w:tc>
        <w:tc>
          <w:tcPr>
            <w:tcW w:w="1823"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16</w:t>
            </w:r>
          </w:p>
        </w:tc>
        <w:tc>
          <w:tcPr>
            <w:tcW w:w="1777"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2</w:t>
            </w: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Lateral entry</w:t>
            </w:r>
          </w:p>
        </w:tc>
        <w:tc>
          <w:tcPr>
            <w:tcW w:w="1823"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9</w:t>
            </w:r>
          </w:p>
        </w:tc>
        <w:tc>
          <w:tcPr>
            <w:tcW w:w="1777"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11</w:t>
            </w: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Regular</w:t>
            </w:r>
          </w:p>
        </w:tc>
        <w:tc>
          <w:tcPr>
            <w:tcW w:w="1823"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19</w:t>
            </w:r>
          </w:p>
        </w:tc>
        <w:tc>
          <w:tcPr>
            <w:tcW w:w="1777"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w:t>
            </w: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Year 4</w:t>
            </w:r>
          </w:p>
        </w:tc>
        <w:tc>
          <w:tcPr>
            <w:tcW w:w="1823" w:type="dxa"/>
          </w:tcPr>
          <w:p w:rsidR="00AD20D5" w:rsidRPr="0011531B" w:rsidRDefault="00AD20D5" w:rsidP="0011531B">
            <w:pPr>
              <w:spacing w:line="480" w:lineRule="auto"/>
              <w:rPr>
                <w:rFonts w:ascii="Times New Roman" w:eastAsia="Times New Roman" w:hAnsi="Times New Roman" w:cs="Times New Roman"/>
                <w:color w:val="000000" w:themeColor="text1"/>
                <w:sz w:val="24"/>
                <w:szCs w:val="24"/>
                <w:lang w:eastAsia="en-GB"/>
              </w:rPr>
            </w:pPr>
          </w:p>
        </w:tc>
        <w:tc>
          <w:tcPr>
            <w:tcW w:w="1777" w:type="dxa"/>
          </w:tcPr>
          <w:p w:rsidR="00AD20D5" w:rsidRPr="0011531B" w:rsidRDefault="00AD20D5" w:rsidP="0011531B">
            <w:pPr>
              <w:spacing w:line="480" w:lineRule="auto"/>
              <w:rPr>
                <w:rFonts w:ascii="Times New Roman" w:eastAsia="Times New Roman" w:hAnsi="Times New Roman" w:cs="Times New Roman"/>
                <w:color w:val="000000" w:themeColor="text1"/>
                <w:sz w:val="24"/>
                <w:szCs w:val="24"/>
                <w:lang w:eastAsia="en-GB"/>
              </w:rPr>
            </w:pP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NC Teach</w:t>
            </w:r>
          </w:p>
        </w:tc>
        <w:tc>
          <w:tcPr>
            <w:tcW w:w="1823"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12</w:t>
            </w:r>
          </w:p>
        </w:tc>
        <w:tc>
          <w:tcPr>
            <w:tcW w:w="1777"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6</w:t>
            </w: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Lateral entry</w:t>
            </w:r>
          </w:p>
        </w:tc>
        <w:tc>
          <w:tcPr>
            <w:tcW w:w="1823"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7</w:t>
            </w:r>
          </w:p>
        </w:tc>
        <w:tc>
          <w:tcPr>
            <w:tcW w:w="1777"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13</w:t>
            </w:r>
          </w:p>
        </w:tc>
      </w:tr>
      <w:tr w:rsidR="00051A18" w:rsidRPr="0011531B" w:rsidTr="00AD20D5">
        <w:tc>
          <w:tcPr>
            <w:tcW w:w="3600"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Regular</w:t>
            </w:r>
          </w:p>
        </w:tc>
        <w:tc>
          <w:tcPr>
            <w:tcW w:w="1823"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19</w:t>
            </w:r>
          </w:p>
        </w:tc>
        <w:tc>
          <w:tcPr>
            <w:tcW w:w="1777" w:type="dxa"/>
          </w:tcPr>
          <w:p w:rsidR="00AD20D5"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w:t>
            </w:r>
          </w:p>
        </w:tc>
      </w:tr>
    </w:tbl>
    <w:p w:rsidR="00F855D2"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Table 2: Rate of Retention by the Type of Teacher Preparation </w:t>
      </w:r>
    </w:p>
    <w:tbl>
      <w:tblPr>
        <w:tblStyle w:val="TableGrid"/>
        <w:tblW w:w="0" w:type="auto"/>
        <w:tblLook w:val="04A0"/>
      </w:tblPr>
      <w:tblGrid>
        <w:gridCol w:w="2898"/>
        <w:gridCol w:w="1350"/>
        <w:gridCol w:w="1296"/>
        <w:gridCol w:w="1134"/>
        <w:gridCol w:w="1620"/>
      </w:tblGrid>
      <w:tr w:rsidR="00051A18" w:rsidRPr="0011531B" w:rsidTr="00F855D2">
        <w:tc>
          <w:tcPr>
            <w:tcW w:w="2898"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Type of Preparation </w:t>
            </w:r>
          </w:p>
        </w:tc>
        <w:tc>
          <w:tcPr>
            <w:tcW w:w="135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w:t>
            </w:r>
          </w:p>
        </w:tc>
        <w:tc>
          <w:tcPr>
            <w:tcW w:w="1296"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2</w:t>
            </w:r>
          </w:p>
        </w:tc>
        <w:tc>
          <w:tcPr>
            <w:tcW w:w="1134"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w:t>
            </w:r>
          </w:p>
        </w:tc>
        <w:tc>
          <w:tcPr>
            <w:tcW w:w="162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7</w:t>
            </w:r>
          </w:p>
        </w:tc>
      </w:tr>
      <w:tr w:rsidR="00051A18" w:rsidRPr="0011531B" w:rsidTr="00F855D2">
        <w:tc>
          <w:tcPr>
            <w:tcW w:w="2898"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NC Teach</w:t>
            </w:r>
          </w:p>
        </w:tc>
        <w:tc>
          <w:tcPr>
            <w:tcW w:w="135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100</w:t>
            </w:r>
          </w:p>
        </w:tc>
        <w:tc>
          <w:tcPr>
            <w:tcW w:w="1296"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94.45%</w:t>
            </w:r>
          </w:p>
        </w:tc>
        <w:tc>
          <w:tcPr>
            <w:tcW w:w="1134"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89.90%</w:t>
            </w:r>
          </w:p>
        </w:tc>
        <w:tc>
          <w:tcPr>
            <w:tcW w:w="162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66.68%</w:t>
            </w:r>
          </w:p>
        </w:tc>
      </w:tr>
      <w:tr w:rsidR="00051A18" w:rsidRPr="0011531B" w:rsidTr="00F855D2">
        <w:tc>
          <w:tcPr>
            <w:tcW w:w="2898"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Lateral Entry</w:t>
            </w:r>
          </w:p>
        </w:tc>
        <w:tc>
          <w:tcPr>
            <w:tcW w:w="135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100</w:t>
            </w:r>
          </w:p>
        </w:tc>
        <w:tc>
          <w:tcPr>
            <w:tcW w:w="1296"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60.01%</w:t>
            </w:r>
          </w:p>
        </w:tc>
        <w:tc>
          <w:tcPr>
            <w:tcW w:w="1134"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45.10%</w:t>
            </w:r>
          </w:p>
        </w:tc>
        <w:tc>
          <w:tcPr>
            <w:tcW w:w="162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35.10%</w:t>
            </w:r>
          </w:p>
        </w:tc>
      </w:tr>
      <w:tr w:rsidR="00051A18" w:rsidRPr="0011531B" w:rsidTr="00F855D2">
        <w:tc>
          <w:tcPr>
            <w:tcW w:w="2898"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Regular </w:t>
            </w:r>
          </w:p>
        </w:tc>
        <w:tc>
          <w:tcPr>
            <w:tcW w:w="135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100</w:t>
            </w:r>
          </w:p>
        </w:tc>
        <w:tc>
          <w:tcPr>
            <w:tcW w:w="1296"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86.37%</w:t>
            </w:r>
          </w:p>
        </w:tc>
        <w:tc>
          <w:tcPr>
            <w:tcW w:w="1134"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86.35%</w:t>
            </w:r>
          </w:p>
        </w:tc>
        <w:tc>
          <w:tcPr>
            <w:tcW w:w="1620" w:type="dxa"/>
          </w:tcPr>
          <w:p w:rsidR="00F855D2"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86.35%</w:t>
            </w:r>
          </w:p>
        </w:tc>
      </w:tr>
    </w:tbl>
    <w:p w:rsidR="00F855D2"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Table 3: Forecasted Probability by Type of Preparation of Teacher </w:t>
      </w:r>
    </w:p>
    <w:tbl>
      <w:tblPr>
        <w:tblStyle w:val="TableGrid"/>
        <w:tblW w:w="0" w:type="auto"/>
        <w:tblLook w:val="04A0"/>
      </w:tblPr>
      <w:tblGrid>
        <w:gridCol w:w="2898"/>
        <w:gridCol w:w="1296"/>
        <w:gridCol w:w="1134"/>
        <w:gridCol w:w="1620"/>
      </w:tblGrid>
      <w:tr w:rsidR="00051A18" w:rsidRPr="0011531B" w:rsidTr="008814CD">
        <w:tc>
          <w:tcPr>
            <w:tcW w:w="2898"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Type of Preparation </w:t>
            </w:r>
          </w:p>
        </w:tc>
        <w:tc>
          <w:tcPr>
            <w:tcW w:w="1296"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2</w:t>
            </w:r>
          </w:p>
        </w:tc>
        <w:tc>
          <w:tcPr>
            <w:tcW w:w="1134"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w:t>
            </w:r>
          </w:p>
        </w:tc>
        <w:tc>
          <w:tcPr>
            <w:tcW w:w="1620"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7</w:t>
            </w:r>
          </w:p>
        </w:tc>
      </w:tr>
      <w:tr w:rsidR="00051A18" w:rsidRPr="0011531B" w:rsidTr="008814CD">
        <w:tc>
          <w:tcPr>
            <w:tcW w:w="2898"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NC Teach</w:t>
            </w:r>
          </w:p>
        </w:tc>
        <w:tc>
          <w:tcPr>
            <w:tcW w:w="1296"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84.45%</w:t>
            </w:r>
          </w:p>
        </w:tc>
        <w:tc>
          <w:tcPr>
            <w:tcW w:w="1134"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77.60%</w:t>
            </w:r>
          </w:p>
        </w:tc>
        <w:tc>
          <w:tcPr>
            <w:tcW w:w="1620"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65.58%</w:t>
            </w:r>
          </w:p>
        </w:tc>
      </w:tr>
      <w:tr w:rsidR="00051A18" w:rsidRPr="0011531B" w:rsidTr="008814CD">
        <w:tc>
          <w:tcPr>
            <w:tcW w:w="2898"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Lateral Entry</w:t>
            </w:r>
          </w:p>
        </w:tc>
        <w:tc>
          <w:tcPr>
            <w:tcW w:w="1296"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59.70%</w:t>
            </w:r>
          </w:p>
        </w:tc>
        <w:tc>
          <w:tcPr>
            <w:tcW w:w="1134"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45.10%</w:t>
            </w:r>
          </w:p>
        </w:tc>
        <w:tc>
          <w:tcPr>
            <w:tcW w:w="1620"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35.10%</w:t>
            </w:r>
          </w:p>
        </w:tc>
      </w:tr>
      <w:tr w:rsidR="00051A18" w:rsidRPr="0011531B" w:rsidTr="008814CD">
        <w:tc>
          <w:tcPr>
            <w:tcW w:w="2898"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Regular </w:t>
            </w:r>
          </w:p>
        </w:tc>
        <w:tc>
          <w:tcPr>
            <w:tcW w:w="1296"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86.37%</w:t>
            </w:r>
          </w:p>
        </w:tc>
        <w:tc>
          <w:tcPr>
            <w:tcW w:w="1134"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86.35%</w:t>
            </w:r>
          </w:p>
        </w:tc>
        <w:tc>
          <w:tcPr>
            <w:tcW w:w="1620" w:type="dxa"/>
          </w:tcPr>
          <w:p w:rsidR="005B6B37" w:rsidRPr="0011531B" w:rsidRDefault="00920CCE" w:rsidP="0011531B">
            <w:pPr>
              <w:spacing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86.35%</w:t>
            </w:r>
          </w:p>
        </w:tc>
      </w:tr>
    </w:tbl>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 xml:space="preserve">Descriptive data analysis </w:t>
      </w:r>
    </w:p>
    <w:p w:rsidR="0003281E"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Relationships between preparation and retention</w:t>
      </w:r>
    </w:p>
    <w:p w:rsidR="0003281E"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 xml:space="preserve">For binary </w:t>
      </w:r>
      <w:r w:rsidR="00FB1ADC" w:rsidRPr="0011531B">
        <w:rPr>
          <w:rFonts w:ascii="Times New Roman" w:eastAsia="Times New Roman" w:hAnsi="Times New Roman" w:cs="Times New Roman"/>
          <w:color w:val="000000" w:themeColor="text1"/>
          <w:sz w:val="24"/>
          <w:szCs w:val="24"/>
          <w:lang w:eastAsia="en-GB"/>
        </w:rPr>
        <w:t>response variables for which the measurement of response for every subject is a failure (for example dropout) or success (for example retention), logistic regression models are the suitable statistical models</w:t>
      </w:r>
      <w:r w:rsidR="00D01E64" w:rsidRPr="0011531B">
        <w:rPr>
          <w:rFonts w:ascii="Times New Roman" w:eastAsia="Times New Roman" w:hAnsi="Times New Roman" w:cs="Times New Roman"/>
          <w:color w:val="000000" w:themeColor="text1"/>
          <w:sz w:val="24"/>
          <w:szCs w:val="24"/>
          <w:lang w:eastAsia="en-GB"/>
        </w:rPr>
        <w:t xml:space="preserve"> (Billingsley, 2004)</w:t>
      </w:r>
      <w:r w:rsidR="00FB1ADC" w:rsidRPr="0011531B">
        <w:rPr>
          <w:rFonts w:ascii="Times New Roman" w:eastAsia="Times New Roman" w:hAnsi="Times New Roman" w:cs="Times New Roman"/>
          <w:color w:val="000000" w:themeColor="text1"/>
          <w:sz w:val="24"/>
          <w:szCs w:val="24"/>
          <w:lang w:eastAsia="en-GB"/>
        </w:rPr>
        <w:t xml:space="preserve">. It approximates the effects all explanatory variables have on the categorical </w:t>
      </w:r>
      <w:r w:rsidR="00B04C4C" w:rsidRPr="0011531B">
        <w:rPr>
          <w:rFonts w:ascii="Times New Roman" w:eastAsia="Times New Roman" w:hAnsi="Times New Roman" w:cs="Times New Roman"/>
          <w:color w:val="000000" w:themeColor="text1"/>
          <w:sz w:val="24"/>
          <w:szCs w:val="24"/>
          <w:lang w:eastAsia="en-GB"/>
        </w:rPr>
        <w:t>result variables. Utilizing SAS, a logistic regression model was developed in testing</w:t>
      </w:r>
      <w:r w:rsidR="00943854" w:rsidRPr="0011531B">
        <w:rPr>
          <w:rFonts w:ascii="Times New Roman" w:eastAsia="Times New Roman" w:hAnsi="Times New Roman" w:cs="Times New Roman"/>
          <w:color w:val="000000" w:themeColor="text1"/>
          <w:sz w:val="24"/>
          <w:szCs w:val="24"/>
          <w:lang w:eastAsia="en-GB"/>
        </w:rPr>
        <w:t xml:space="preserve"> and estimation of the extrapolative</w:t>
      </w:r>
      <w:r w:rsidR="009675B1">
        <w:rPr>
          <w:rFonts w:ascii="Times New Roman" w:eastAsia="Times New Roman" w:hAnsi="Times New Roman" w:cs="Times New Roman"/>
          <w:color w:val="000000" w:themeColor="text1"/>
          <w:sz w:val="24"/>
          <w:szCs w:val="24"/>
          <w:lang w:eastAsia="en-GB"/>
        </w:rPr>
        <w:t xml:space="preserve"> </w:t>
      </w:r>
      <w:r w:rsidR="00943854" w:rsidRPr="0011531B">
        <w:rPr>
          <w:rFonts w:ascii="Times New Roman" w:eastAsia="Times New Roman" w:hAnsi="Times New Roman" w:cs="Times New Roman"/>
          <w:color w:val="000000" w:themeColor="text1"/>
          <w:sz w:val="24"/>
          <w:szCs w:val="24"/>
          <w:lang w:eastAsia="en-GB"/>
        </w:rPr>
        <w:t xml:space="preserve">and dependency correlations </w:t>
      </w:r>
      <w:r w:rsidR="00E47B32" w:rsidRPr="0011531B">
        <w:rPr>
          <w:rFonts w:ascii="Times New Roman" w:eastAsia="Times New Roman" w:hAnsi="Times New Roman" w:cs="Times New Roman"/>
          <w:color w:val="000000" w:themeColor="text1"/>
          <w:sz w:val="24"/>
          <w:szCs w:val="24"/>
          <w:lang w:eastAsia="en-GB"/>
        </w:rPr>
        <w:t xml:space="preserve">between descriptive variable types of teacher preparations and the results variable retentions </w:t>
      </w:r>
      <w:r w:rsidR="00D01E64" w:rsidRPr="0011531B">
        <w:rPr>
          <w:rFonts w:ascii="Times New Roman" w:eastAsia="Times New Roman" w:hAnsi="Times New Roman" w:cs="Times New Roman"/>
          <w:color w:val="000000" w:themeColor="text1"/>
          <w:sz w:val="24"/>
          <w:szCs w:val="24"/>
          <w:lang w:eastAsia="en-GB"/>
        </w:rPr>
        <w:t>(Boyd, et al. 2011)</w:t>
      </w:r>
      <w:r w:rsidR="00B04C4C" w:rsidRPr="0011531B">
        <w:rPr>
          <w:rFonts w:ascii="Times New Roman" w:eastAsia="Times New Roman" w:hAnsi="Times New Roman" w:cs="Times New Roman"/>
          <w:color w:val="000000" w:themeColor="text1"/>
          <w:sz w:val="24"/>
          <w:szCs w:val="24"/>
          <w:lang w:eastAsia="en-GB"/>
        </w:rPr>
        <w:t xml:space="preserve">. </w:t>
      </w:r>
      <w:r w:rsidR="000464BF" w:rsidRPr="0011531B">
        <w:rPr>
          <w:rFonts w:ascii="Times New Roman" w:eastAsia="Times New Roman" w:hAnsi="Times New Roman" w:cs="Times New Roman"/>
          <w:color w:val="000000" w:themeColor="text1"/>
          <w:sz w:val="24"/>
          <w:szCs w:val="24"/>
          <w:lang w:eastAsia="en-GB"/>
        </w:rPr>
        <w:t>The type of teacher preparation, the explanatory variable is a categorical variable with three sub-categories</w:t>
      </w:r>
      <w:r w:rsidR="00C833BA" w:rsidRPr="0011531B">
        <w:rPr>
          <w:rFonts w:ascii="Times New Roman" w:eastAsia="Times New Roman" w:hAnsi="Times New Roman" w:cs="Times New Roman"/>
          <w:color w:val="000000" w:themeColor="text1"/>
          <w:sz w:val="24"/>
          <w:szCs w:val="24"/>
          <w:lang w:eastAsia="en-GB"/>
        </w:rPr>
        <w:t>:</w:t>
      </w:r>
      <w:r w:rsidR="000464BF" w:rsidRPr="0011531B">
        <w:rPr>
          <w:rFonts w:ascii="Times New Roman" w:eastAsia="Times New Roman" w:hAnsi="Times New Roman" w:cs="Times New Roman"/>
          <w:color w:val="000000" w:themeColor="text1"/>
          <w:sz w:val="24"/>
          <w:szCs w:val="24"/>
          <w:lang w:eastAsia="en-GB"/>
        </w:rPr>
        <w:t xml:space="preserve"> NC Teach, lateral entry, and regular entry. </w:t>
      </w:r>
    </w:p>
    <w:p w:rsidR="000464BF" w:rsidRPr="0011531B" w:rsidRDefault="00920CCE" w:rsidP="0011531B">
      <w:pPr>
        <w:shd w:val="clear" w:color="auto" w:fill="FFFFFF"/>
        <w:spacing w:after="0" w:line="480" w:lineRule="auto"/>
        <w:ind w:firstLine="720"/>
        <w:rPr>
          <w:rFonts w:ascii="Times New Roman" w:hAnsi="Times New Roman" w:cs="Times New Roman"/>
          <w:color w:val="000000" w:themeColor="text1"/>
          <w:sz w:val="24"/>
          <w:szCs w:val="24"/>
        </w:rPr>
      </w:pPr>
      <w:r w:rsidRPr="0011531B">
        <w:rPr>
          <w:rFonts w:ascii="Times New Roman" w:eastAsia="Times New Roman" w:hAnsi="Times New Roman" w:cs="Times New Roman"/>
          <w:color w:val="000000" w:themeColor="text1"/>
          <w:sz w:val="24"/>
          <w:szCs w:val="24"/>
          <w:lang w:eastAsia="en-GB"/>
        </w:rPr>
        <w:t>The results show that the probability of retentions for horizontal entry educators is importantly lower than the likelihood of retention for NC Teach educators in the years 2</w:t>
      </w:r>
      <w:r w:rsidR="005F4455" w:rsidRPr="0011531B">
        <w:rPr>
          <w:rFonts w:ascii="Times New Roman" w:eastAsia="Times New Roman" w:hAnsi="Times New Roman" w:cs="Times New Roman"/>
          <w:color w:val="000000" w:themeColor="text1"/>
          <w:sz w:val="24"/>
          <w:szCs w:val="24"/>
          <w:lang w:eastAsia="en-GB"/>
        </w:rPr>
        <w:t>, 3</w:t>
      </w:r>
      <w:r w:rsidRPr="0011531B">
        <w:rPr>
          <w:rFonts w:ascii="Times New Roman" w:eastAsia="Times New Roman" w:hAnsi="Times New Roman" w:cs="Times New Roman"/>
          <w:color w:val="000000" w:themeColor="text1"/>
          <w:sz w:val="24"/>
          <w:szCs w:val="24"/>
          <w:lang w:eastAsia="en-GB"/>
        </w:rPr>
        <w:t xml:space="preserve">, and 7 (p = 0.002 for year 7, </w:t>
      </w:r>
      <w:r w:rsidRPr="0011531B">
        <w:rPr>
          <w:rFonts w:ascii="Times New Roman" w:hAnsi="Times New Roman" w:cs="Times New Roman"/>
          <w:color w:val="000000" w:themeColor="text1"/>
          <w:sz w:val="24"/>
          <w:szCs w:val="24"/>
        </w:rPr>
        <w:t xml:space="preserve">Wald χ2 = 9.415, optimum probability estimations; p = 0.001 for year 3, Wald χ2 = 10.656, optimum probability estimations = -1.442; </w:t>
      </w:r>
      <w:r w:rsidR="005F4455" w:rsidRPr="0011531B">
        <w:rPr>
          <w:rFonts w:ascii="Times New Roman" w:hAnsi="Times New Roman" w:cs="Times New Roman"/>
          <w:color w:val="000000" w:themeColor="text1"/>
          <w:sz w:val="24"/>
          <w:szCs w:val="24"/>
        </w:rPr>
        <w:t>p = 0.01, Wald χ2 = 6.56, optimum probability estimates = -1.289)</w:t>
      </w:r>
      <w:r w:rsidR="00272FBC" w:rsidRPr="0011531B">
        <w:rPr>
          <w:rFonts w:ascii="Times New Roman" w:hAnsi="Times New Roman" w:cs="Times New Roman"/>
          <w:color w:val="000000" w:themeColor="text1"/>
          <w:sz w:val="24"/>
          <w:szCs w:val="24"/>
        </w:rPr>
        <w:t xml:space="preserve"> (Hughes, Matt, &amp; O'Reilly, 2015)</w:t>
      </w:r>
      <w:r w:rsidR="005F4455" w:rsidRPr="0011531B">
        <w:rPr>
          <w:rFonts w:ascii="Times New Roman" w:hAnsi="Times New Roman" w:cs="Times New Roman"/>
          <w:color w:val="000000" w:themeColor="text1"/>
          <w:sz w:val="24"/>
          <w:szCs w:val="24"/>
        </w:rPr>
        <w:t>. Further, the results propose that there are no statistically important differences between the likelihood of retention NC Teach and regular educators in year two and three (</w:t>
      </w:r>
      <w:r w:rsidR="00306D64" w:rsidRPr="0011531B">
        <w:rPr>
          <w:rFonts w:ascii="Times New Roman" w:hAnsi="Times New Roman" w:cs="Times New Roman"/>
          <w:color w:val="000000" w:themeColor="text1"/>
          <w:sz w:val="24"/>
          <w:szCs w:val="24"/>
        </w:rPr>
        <w:t>p = 0.23 for year 3, Wald χ2 = 1.424, optimum probability estimates = 0.604; p = 0.787 for the year 2, Wald χ2 = 0.073, and optimum probability estimations = 0.151)</w:t>
      </w:r>
      <w:r w:rsidR="00272FBC" w:rsidRPr="0011531B">
        <w:rPr>
          <w:rFonts w:ascii="Times New Roman" w:hAnsi="Times New Roman" w:cs="Times New Roman"/>
          <w:color w:val="000000" w:themeColor="text1"/>
          <w:sz w:val="24"/>
          <w:szCs w:val="24"/>
        </w:rPr>
        <w:t xml:space="preserve"> (</w:t>
      </w:r>
      <w:r w:rsidR="00272FBC" w:rsidRPr="0011531B">
        <w:rPr>
          <w:rFonts w:ascii="Times New Roman" w:eastAsia="Times New Roman" w:hAnsi="Times New Roman" w:cs="Times New Roman"/>
          <w:color w:val="000000" w:themeColor="text1"/>
          <w:sz w:val="24"/>
          <w:szCs w:val="24"/>
          <w:lang w:eastAsia="en-GB"/>
        </w:rPr>
        <w:t>Papay, et al. 2017)</w:t>
      </w:r>
      <w:r w:rsidR="00306D64" w:rsidRPr="0011531B">
        <w:rPr>
          <w:rFonts w:ascii="Times New Roman" w:hAnsi="Times New Roman" w:cs="Times New Roman"/>
          <w:color w:val="000000" w:themeColor="text1"/>
          <w:sz w:val="24"/>
          <w:szCs w:val="24"/>
        </w:rPr>
        <w:t xml:space="preserve">. The probability </w:t>
      </w:r>
      <w:r w:rsidR="00942A63" w:rsidRPr="0011531B">
        <w:rPr>
          <w:rFonts w:ascii="Times New Roman" w:hAnsi="Times New Roman" w:cs="Times New Roman"/>
          <w:color w:val="000000" w:themeColor="text1"/>
          <w:sz w:val="24"/>
          <w:szCs w:val="24"/>
        </w:rPr>
        <w:t>of retention for year 7 is however lower for NC Teach than for regular teachers (p = 0.01, optimum probability estimations = 1.205 and Wald χ2 = 6.498).</w:t>
      </w:r>
    </w:p>
    <w:p w:rsidR="00941FDF"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hAnsi="Times New Roman" w:cs="Times New Roman"/>
          <w:color w:val="000000" w:themeColor="text1"/>
          <w:sz w:val="24"/>
          <w:szCs w:val="24"/>
        </w:rPr>
        <w:t>In summary, the retention probability of horizontal entry educators is lower compared to those of NC Teach and regular teachers over the long and short periods in years 7, 3, as well as 2</w:t>
      </w:r>
      <w:r w:rsidR="00822DD4" w:rsidRPr="0011531B">
        <w:rPr>
          <w:rFonts w:ascii="Times New Roman" w:hAnsi="Times New Roman" w:cs="Times New Roman"/>
          <w:color w:val="000000" w:themeColor="text1"/>
          <w:sz w:val="24"/>
          <w:szCs w:val="24"/>
        </w:rPr>
        <w:t xml:space="preserve"> (West, et al. 2016)</w:t>
      </w:r>
      <w:r w:rsidRPr="0011531B">
        <w:rPr>
          <w:rFonts w:ascii="Times New Roman" w:hAnsi="Times New Roman" w:cs="Times New Roman"/>
          <w:color w:val="000000" w:themeColor="text1"/>
          <w:sz w:val="24"/>
          <w:szCs w:val="24"/>
        </w:rPr>
        <w:t xml:space="preserve">. The NC Teach and regular teacher have comparable </w:t>
      </w:r>
      <w:r w:rsidRPr="0011531B">
        <w:rPr>
          <w:rFonts w:ascii="Times New Roman" w:eastAsia="Times New Roman" w:hAnsi="Times New Roman" w:cs="Times New Roman"/>
          <w:color w:val="000000" w:themeColor="text1"/>
          <w:sz w:val="24"/>
          <w:szCs w:val="24"/>
          <w:lang w:eastAsia="en-GB"/>
        </w:rPr>
        <w:t>rates of retention during the first three years. In the long-term (at year 7), however, the retention likelihood of regular teachers is greater compared to that of the NC Teach educators</w:t>
      </w:r>
      <w:r w:rsidR="00822DD4" w:rsidRPr="0011531B">
        <w:rPr>
          <w:rFonts w:ascii="Times New Roman" w:eastAsia="Times New Roman" w:hAnsi="Times New Roman" w:cs="Times New Roman"/>
          <w:color w:val="000000" w:themeColor="text1"/>
          <w:sz w:val="24"/>
          <w:szCs w:val="24"/>
          <w:lang w:eastAsia="en-GB"/>
        </w:rPr>
        <w:t xml:space="preserve"> (Zhang &amp; Zeller, 2016)</w:t>
      </w:r>
      <w:r w:rsidRPr="0011531B">
        <w:rPr>
          <w:rFonts w:ascii="Times New Roman" w:eastAsia="Times New Roman" w:hAnsi="Times New Roman" w:cs="Times New Roman"/>
          <w:color w:val="000000" w:themeColor="text1"/>
          <w:sz w:val="24"/>
          <w:szCs w:val="24"/>
          <w:lang w:eastAsia="en-GB"/>
        </w:rPr>
        <w:t xml:space="preserve">. </w:t>
      </w:r>
      <w:r w:rsidR="00E47B32" w:rsidRPr="0011531B">
        <w:rPr>
          <w:rFonts w:ascii="Times New Roman" w:eastAsia="Times New Roman" w:hAnsi="Times New Roman" w:cs="Times New Roman"/>
          <w:color w:val="000000" w:themeColor="text1"/>
          <w:sz w:val="24"/>
          <w:szCs w:val="24"/>
          <w:lang w:eastAsia="en-GB"/>
        </w:rPr>
        <w:t xml:space="preserve"> Because of the results relating to the type of preparation to retentions, the data were further analysed by use of quantitative methods to test the correlations and statistic importance between retentions and teacher preparations.</w:t>
      </w:r>
    </w:p>
    <w:p w:rsidR="000F765C"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hAnsi="Times New Roman" w:cs="Times New Roman"/>
          <w:noProof/>
          <w:color w:val="000000" w:themeColor="text1"/>
          <w:sz w:val="24"/>
          <w:szCs w:val="24"/>
          <w:lang w:val="en-GB" w:eastAsia="en-GB"/>
        </w:rPr>
        <w:drawing>
          <wp:inline distT="0" distB="0" distL="0" distR="0">
            <wp:extent cx="4171950" cy="3457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04732" name=""/>
                    <pic:cNvPicPr/>
                  </pic:nvPicPr>
                  <pic:blipFill>
                    <a:blip r:embed="rId7"/>
                    <a:stretch>
                      <a:fillRect/>
                    </a:stretch>
                  </pic:blipFill>
                  <pic:spPr>
                    <a:xfrm>
                      <a:off x="0" y="0"/>
                      <a:ext cx="4171950" cy="3457575"/>
                    </a:xfrm>
                    <a:prstGeom prst="rect">
                      <a:avLst/>
                    </a:prstGeom>
                  </pic:spPr>
                </pic:pic>
              </a:graphicData>
            </a:graphic>
          </wp:inline>
        </w:drawing>
      </w:r>
    </w:p>
    <w:p w:rsidR="006337AA"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The Likelihoods of Retention ba</w:t>
      </w:r>
      <w:r w:rsidR="00700515" w:rsidRPr="0011531B">
        <w:rPr>
          <w:rFonts w:ascii="Times New Roman" w:eastAsia="Times New Roman" w:hAnsi="Times New Roman" w:cs="Times New Roman"/>
          <w:b/>
          <w:color w:val="000000" w:themeColor="text1"/>
          <w:sz w:val="24"/>
          <w:szCs w:val="24"/>
          <w:lang w:eastAsia="en-GB"/>
        </w:rPr>
        <w:t xml:space="preserve">sed on the Type of Preparation </w:t>
      </w:r>
    </w:p>
    <w:p w:rsidR="00700515"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The predicted retention probabilities are computed by use of the approximated values of parameters from the analysis of logistic regression in facilitating better comprehension</w:t>
      </w:r>
      <w:r w:rsidR="00822DD4" w:rsidRPr="0011531B">
        <w:rPr>
          <w:rFonts w:ascii="Times New Roman" w:eastAsia="Times New Roman" w:hAnsi="Times New Roman" w:cs="Times New Roman"/>
          <w:color w:val="000000" w:themeColor="text1"/>
          <w:sz w:val="24"/>
          <w:szCs w:val="24"/>
          <w:lang w:eastAsia="en-GB"/>
        </w:rPr>
        <w:t>s</w:t>
      </w:r>
      <w:r w:rsidR="00D01E64" w:rsidRPr="0011531B">
        <w:rPr>
          <w:rFonts w:ascii="Times New Roman" w:eastAsia="Times New Roman" w:hAnsi="Times New Roman" w:cs="Times New Roman"/>
          <w:color w:val="000000" w:themeColor="text1"/>
          <w:sz w:val="24"/>
          <w:szCs w:val="24"/>
          <w:lang w:eastAsia="en-GB"/>
        </w:rPr>
        <w:t xml:space="preserve"> (Billingsley, 2004)</w:t>
      </w:r>
      <w:r w:rsidRPr="0011531B">
        <w:rPr>
          <w:rFonts w:ascii="Times New Roman" w:eastAsia="Times New Roman" w:hAnsi="Times New Roman" w:cs="Times New Roman"/>
          <w:color w:val="000000" w:themeColor="text1"/>
          <w:sz w:val="24"/>
          <w:szCs w:val="24"/>
          <w:lang w:eastAsia="en-GB"/>
        </w:rPr>
        <w:t xml:space="preserve">. The predicted Year 2 retention probability is 86.3% for the regular teachers. By comparisons, the predicted year 2 retention probability is 59.8% for lateral entry teachers and 84.4% for NC Teach teachers. The results show that </w:t>
      </w:r>
      <w:r w:rsidR="003D6538" w:rsidRPr="0011531B">
        <w:rPr>
          <w:rFonts w:ascii="Times New Roman" w:eastAsia="Times New Roman" w:hAnsi="Times New Roman" w:cs="Times New Roman"/>
          <w:color w:val="000000" w:themeColor="text1"/>
          <w:sz w:val="24"/>
          <w:szCs w:val="24"/>
          <w:lang w:eastAsia="en-GB"/>
        </w:rPr>
        <w:t>the lateral entry teachers are roughly 25% less likely to be teaching in that the NC Teach teachers. The lateral entry teachers are approximately 27% less likely to be teaching in year 2 than the regular teachers as illustrated in table 3</w:t>
      </w:r>
      <w:r w:rsidR="00D01E64" w:rsidRPr="0011531B">
        <w:rPr>
          <w:rFonts w:ascii="Times New Roman" w:eastAsia="Times New Roman" w:hAnsi="Times New Roman" w:cs="Times New Roman"/>
          <w:color w:val="000000" w:themeColor="text1"/>
          <w:sz w:val="24"/>
          <w:szCs w:val="24"/>
          <w:lang w:eastAsia="en-GB"/>
        </w:rPr>
        <w:t xml:space="preserve"> (Boyd, et al. 2011)</w:t>
      </w:r>
      <w:r w:rsidR="003D6538" w:rsidRPr="0011531B">
        <w:rPr>
          <w:rFonts w:ascii="Times New Roman" w:eastAsia="Times New Roman" w:hAnsi="Times New Roman" w:cs="Times New Roman"/>
          <w:color w:val="000000" w:themeColor="text1"/>
          <w:sz w:val="24"/>
          <w:szCs w:val="24"/>
          <w:lang w:eastAsia="en-GB"/>
        </w:rPr>
        <w:t>. The predicted year 3 retention probabilities are 77.6% for NC Teach educators, 86.3% for regular educators, and 45% for lateral entry educators. Subsequently, the retention probability of lateral entry teacher is about 41% than those of NC Teach teachers and regular educators by year 3.</w:t>
      </w:r>
    </w:p>
    <w:p w:rsidR="00F3586E"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The probabilities of predicted retentions by year 7 are 65.5% for NC Teach teachers, 86.3% for regular teachers, and 35% for horizontal entry educators</w:t>
      </w:r>
      <w:r w:rsidR="00272FBC" w:rsidRPr="0011531B">
        <w:rPr>
          <w:rFonts w:ascii="Times New Roman" w:eastAsia="Times New Roman" w:hAnsi="Times New Roman" w:cs="Times New Roman"/>
          <w:color w:val="000000" w:themeColor="text1"/>
          <w:sz w:val="24"/>
          <w:szCs w:val="24"/>
          <w:lang w:eastAsia="en-GB"/>
        </w:rPr>
        <w:t xml:space="preserve"> (Hughes, Matt, &amp; O'Reilly, 2015)</w:t>
      </w:r>
      <w:r w:rsidRPr="0011531B">
        <w:rPr>
          <w:rFonts w:ascii="Times New Roman" w:eastAsia="Times New Roman" w:hAnsi="Times New Roman" w:cs="Times New Roman"/>
          <w:color w:val="000000" w:themeColor="text1"/>
          <w:sz w:val="24"/>
          <w:szCs w:val="24"/>
          <w:lang w:eastAsia="en-GB"/>
        </w:rPr>
        <w:t>. At Year 7, therefore, the retention probability of lateral entry teachers is about 31% lower than that of NC Teach educators and about 51% lower than that of regular educators. The results of the predicted retention probability for all the three years are graphically indicated in figure 2. The model's predictive efficacies are explored by determining the generalized R2, determination coefficient. The coefficient of determination represents the variance amount in retentions described by teacher preparation type, that is, how much preparation of teacher affects retention</w:t>
      </w:r>
      <w:r w:rsidR="00272FBC" w:rsidRPr="0011531B">
        <w:rPr>
          <w:rFonts w:ascii="Times New Roman" w:eastAsia="Times New Roman" w:hAnsi="Times New Roman" w:cs="Times New Roman"/>
          <w:color w:val="000000" w:themeColor="text1"/>
          <w:sz w:val="24"/>
          <w:szCs w:val="24"/>
          <w:lang w:eastAsia="en-GB"/>
        </w:rPr>
        <w:t xml:space="preserve"> (Papay, et al. 2017)</w:t>
      </w:r>
      <w:r w:rsidRPr="0011531B">
        <w:rPr>
          <w:rFonts w:ascii="Times New Roman" w:eastAsia="Times New Roman" w:hAnsi="Times New Roman" w:cs="Times New Roman"/>
          <w:color w:val="000000" w:themeColor="text1"/>
          <w:sz w:val="24"/>
          <w:szCs w:val="24"/>
          <w:lang w:eastAsia="en-GB"/>
        </w:rPr>
        <w:t>. To overcome the coefficient of determination</w:t>
      </w:r>
      <w:r w:rsidR="00BD454B" w:rsidRPr="0011531B">
        <w:rPr>
          <w:rFonts w:ascii="Times New Roman" w:eastAsia="Times New Roman" w:hAnsi="Times New Roman" w:cs="Times New Roman"/>
          <w:color w:val="000000" w:themeColor="text1"/>
          <w:sz w:val="24"/>
          <w:szCs w:val="24"/>
          <w:lang w:eastAsia="en-GB"/>
        </w:rPr>
        <w:t xml:space="preserve">, the Nagelkerke adjusted R2 was utilized. That is the coefficient of determination can’t acquire a figure of 1. </w:t>
      </w:r>
    </w:p>
    <w:p w:rsidR="00BD454B"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The adjusted R2 of Nagelkerke is 19.5% for year 2 logistic model, showing that the type of teacher preparation accounted for 19.5% of the variances in the retention probability of year</w:t>
      </w:r>
      <w:r w:rsidR="00822DD4" w:rsidRPr="0011531B">
        <w:rPr>
          <w:rFonts w:ascii="Times New Roman" w:eastAsia="Times New Roman" w:hAnsi="Times New Roman" w:cs="Times New Roman"/>
          <w:color w:val="000000" w:themeColor="text1"/>
          <w:sz w:val="24"/>
          <w:szCs w:val="24"/>
          <w:lang w:eastAsia="en-GB"/>
        </w:rPr>
        <w:t xml:space="preserve"> (West, et al. 2016)</w:t>
      </w:r>
      <w:r w:rsidRPr="0011531B">
        <w:rPr>
          <w:rFonts w:ascii="Times New Roman" w:eastAsia="Times New Roman" w:hAnsi="Times New Roman" w:cs="Times New Roman"/>
          <w:color w:val="000000" w:themeColor="text1"/>
          <w:sz w:val="24"/>
          <w:szCs w:val="24"/>
          <w:lang w:eastAsia="en-GB"/>
        </w:rPr>
        <w:t xml:space="preserve">. Furthermore, the coefficient of determination is 26.4% for year 3 logistic model, indicating </w:t>
      </w:r>
      <w:r w:rsidR="00DA65A1" w:rsidRPr="0011531B">
        <w:rPr>
          <w:rFonts w:ascii="Times New Roman" w:eastAsia="Times New Roman" w:hAnsi="Times New Roman" w:cs="Times New Roman"/>
          <w:color w:val="000000" w:themeColor="text1"/>
          <w:sz w:val="24"/>
          <w:szCs w:val="24"/>
          <w:lang w:eastAsia="en-GB"/>
        </w:rPr>
        <w:t>that the teacher preparation type accounted for 26.4% of the variances in retention probability for year 3.</w:t>
      </w:r>
      <w:r w:rsidR="009675B1">
        <w:rPr>
          <w:rFonts w:ascii="Times New Roman" w:eastAsia="Times New Roman" w:hAnsi="Times New Roman" w:cs="Times New Roman"/>
          <w:color w:val="000000" w:themeColor="text1"/>
          <w:sz w:val="24"/>
          <w:szCs w:val="24"/>
          <w:lang w:eastAsia="en-GB"/>
        </w:rPr>
        <w:t xml:space="preserve"> </w:t>
      </w:r>
      <w:r w:rsidR="00DA65A1" w:rsidRPr="0011531B">
        <w:rPr>
          <w:rFonts w:ascii="Times New Roman" w:eastAsia="Times New Roman" w:hAnsi="Times New Roman" w:cs="Times New Roman"/>
          <w:color w:val="000000" w:themeColor="text1"/>
          <w:sz w:val="24"/>
          <w:szCs w:val="24"/>
          <w:lang w:eastAsia="en-GB"/>
        </w:rPr>
        <w:t xml:space="preserve">At year 7, similarly, the type of teacher preparations accounted for 25.8% of the likelihood of retention. </w:t>
      </w:r>
      <w:r w:rsidR="00737E1A" w:rsidRPr="0011531B">
        <w:rPr>
          <w:rFonts w:ascii="Times New Roman" w:eastAsia="Times New Roman" w:hAnsi="Times New Roman" w:cs="Times New Roman"/>
          <w:color w:val="000000" w:themeColor="text1"/>
          <w:sz w:val="24"/>
          <w:szCs w:val="24"/>
          <w:lang w:eastAsia="en-GB"/>
        </w:rPr>
        <w:t>In general, the results propose that roughly a fourth of the likelihood of teacher retention is discussed by preparation of the educator. It is noted that preparations of the teachers have great impacts on their retentions. That is, the probability of teacher retention partly relies on the types of preparation educators receive</w:t>
      </w:r>
      <w:r w:rsidR="00D01E64" w:rsidRPr="0011531B">
        <w:rPr>
          <w:rFonts w:ascii="Times New Roman" w:eastAsia="Times New Roman" w:hAnsi="Times New Roman" w:cs="Times New Roman"/>
          <w:color w:val="000000" w:themeColor="text1"/>
          <w:sz w:val="24"/>
          <w:szCs w:val="24"/>
          <w:lang w:eastAsia="en-GB"/>
        </w:rPr>
        <w:t xml:space="preserve"> (Billingsley, 2004)</w:t>
      </w:r>
      <w:r w:rsidR="00737E1A" w:rsidRPr="0011531B">
        <w:rPr>
          <w:rFonts w:ascii="Times New Roman" w:eastAsia="Times New Roman" w:hAnsi="Times New Roman" w:cs="Times New Roman"/>
          <w:color w:val="000000" w:themeColor="text1"/>
          <w:sz w:val="24"/>
          <w:szCs w:val="24"/>
          <w:lang w:eastAsia="en-GB"/>
        </w:rPr>
        <w:t>. Even though the teacher preparation type is a significant aspect which describes the retention of teachers, forecasting retentions are more complicated and shall require more examinations and considerations of other aspects.</w:t>
      </w:r>
    </w:p>
    <w:p w:rsidR="00DC09A0"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hAnsi="Times New Roman" w:cs="Times New Roman"/>
          <w:noProof/>
          <w:color w:val="000000" w:themeColor="text1"/>
          <w:sz w:val="24"/>
          <w:szCs w:val="24"/>
          <w:lang w:val="en-GB" w:eastAsia="en-GB"/>
        </w:rPr>
        <w:drawing>
          <wp:inline distT="0" distB="0" distL="0" distR="0">
            <wp:extent cx="4267200" cy="3552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3093" name=""/>
                    <pic:cNvPicPr/>
                  </pic:nvPicPr>
                  <pic:blipFill>
                    <a:blip r:embed="rId8"/>
                    <a:stretch>
                      <a:fillRect/>
                    </a:stretch>
                  </pic:blipFill>
                  <pic:spPr>
                    <a:xfrm>
                      <a:off x="0" y="0"/>
                      <a:ext cx="4267200" cy="3552825"/>
                    </a:xfrm>
                    <a:prstGeom prst="rect">
                      <a:avLst/>
                    </a:prstGeom>
                  </pic:spPr>
                </pic:pic>
              </a:graphicData>
            </a:graphic>
          </wp:inline>
        </w:drawing>
      </w:r>
    </w:p>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 xml:space="preserve">Statistical test </w:t>
      </w:r>
    </w:p>
    <w:p w:rsidR="00941FDF" w:rsidRPr="0011531B" w:rsidRDefault="00841B3C" w:rsidP="0011531B">
      <w:pPr>
        <w:shd w:val="clear" w:color="auto" w:fill="FFFFFF"/>
        <w:spacing w:after="0" w:line="480" w:lineRule="auto"/>
        <w:rPr>
          <w:rFonts w:ascii="Times New Roman" w:eastAsia="Times New Roman" w:hAnsi="Times New Roman" w:cs="Times New Roman"/>
          <w:color w:val="000000" w:themeColor="text1"/>
          <w:sz w:val="24"/>
          <w:szCs w:val="24"/>
          <w:highlight w:val="yellow"/>
          <w:lang w:eastAsia="en-GB"/>
        </w:rPr>
      </w:pPr>
      <w:r w:rsidRPr="0011531B">
        <w:rPr>
          <w:rFonts w:ascii="Times New Roman" w:eastAsia="Times New Roman" w:hAnsi="Times New Roman" w:cs="Times New Roman"/>
          <w:color w:val="000000" w:themeColor="text1"/>
          <w:sz w:val="24"/>
          <w:szCs w:val="24"/>
          <w:lang w:eastAsia="en-GB"/>
        </w:rPr>
        <w:tab/>
      </w:r>
      <w:r w:rsidR="0029199F" w:rsidRPr="0011531B">
        <w:rPr>
          <w:rFonts w:ascii="Times New Roman" w:eastAsia="Times New Roman" w:hAnsi="Times New Roman" w:cs="Times New Roman"/>
          <w:color w:val="000000" w:themeColor="text1"/>
          <w:sz w:val="24"/>
          <w:szCs w:val="24"/>
          <w:lang w:eastAsia="en-GB"/>
        </w:rPr>
        <w:t xml:space="preserve">To examine and estimate the extrapolative and dependence connections between the descriptive </w:t>
      </w:r>
      <w:r w:rsidR="001E41E3" w:rsidRPr="0011531B">
        <w:rPr>
          <w:rFonts w:ascii="Times New Roman" w:eastAsia="Times New Roman" w:hAnsi="Times New Roman" w:cs="Times New Roman"/>
          <w:color w:val="000000" w:themeColor="text1"/>
          <w:sz w:val="24"/>
          <w:szCs w:val="24"/>
          <w:lang w:eastAsia="en-GB"/>
        </w:rPr>
        <w:t xml:space="preserve">variable teacher training types and </w:t>
      </w:r>
      <w:r w:rsidR="00D57CA5" w:rsidRPr="0011531B">
        <w:rPr>
          <w:rFonts w:ascii="Times New Roman" w:eastAsia="Times New Roman" w:hAnsi="Times New Roman" w:cs="Times New Roman"/>
          <w:color w:val="000000" w:themeColor="text1"/>
          <w:sz w:val="24"/>
          <w:szCs w:val="24"/>
          <w:lang w:eastAsia="en-GB"/>
        </w:rPr>
        <w:t xml:space="preserve">the result variable retentions, models of logistic regressions were developed applying SAS in this study </w:t>
      </w:r>
      <w:r w:rsidR="00D01E64" w:rsidRPr="0011531B">
        <w:rPr>
          <w:rFonts w:ascii="Times New Roman" w:eastAsia="Times New Roman" w:hAnsi="Times New Roman" w:cs="Times New Roman"/>
          <w:color w:val="000000" w:themeColor="text1"/>
          <w:sz w:val="24"/>
          <w:szCs w:val="24"/>
          <w:lang w:eastAsia="en-GB"/>
        </w:rPr>
        <w:t>(Boyd, et al. 201</w:t>
      </w:r>
      <w:r w:rsidR="00D57CA5" w:rsidRPr="0011531B">
        <w:rPr>
          <w:rFonts w:ascii="Times New Roman" w:eastAsia="Times New Roman" w:hAnsi="Times New Roman" w:cs="Times New Roman"/>
          <w:color w:val="000000" w:themeColor="text1"/>
          <w:sz w:val="24"/>
          <w:szCs w:val="24"/>
          <w:lang w:eastAsia="en-GB"/>
        </w:rPr>
        <w:t>1).</w:t>
      </w:r>
      <w:r w:rsidR="00605D85" w:rsidRPr="0011531B">
        <w:rPr>
          <w:rFonts w:ascii="Times New Roman" w:eastAsia="Times New Roman" w:hAnsi="Times New Roman" w:cs="Times New Roman"/>
          <w:color w:val="000000" w:themeColor="text1"/>
          <w:sz w:val="24"/>
          <w:szCs w:val="24"/>
          <w:lang w:eastAsia="en-GB"/>
        </w:rPr>
        <w:t xml:space="preserve"> The NVivo7 functions were used in the generation of matrices (equivalent to cross-tabulations) for the result variable retentions and all of the following targeted variables:ages, careers stated during the 1st year of teaching, having kids, ethnicities, genders, levels of educations, marital position, the occupations of the parent, and preparation type</w:t>
      </w:r>
      <w:r w:rsidR="00272FBC" w:rsidRPr="0011531B">
        <w:rPr>
          <w:rFonts w:ascii="Times New Roman" w:eastAsia="Times New Roman" w:hAnsi="Times New Roman" w:cs="Times New Roman"/>
          <w:color w:val="000000" w:themeColor="text1"/>
          <w:sz w:val="24"/>
          <w:szCs w:val="24"/>
          <w:lang w:eastAsia="en-GB"/>
        </w:rPr>
        <w:t xml:space="preserve"> (Hughes, Matt, &amp; O'Reilly, 2015)</w:t>
      </w:r>
      <w:r w:rsidR="00920CCE" w:rsidRPr="0011531B">
        <w:rPr>
          <w:rFonts w:ascii="Times New Roman" w:eastAsia="Times New Roman" w:hAnsi="Times New Roman" w:cs="Times New Roman"/>
          <w:color w:val="000000" w:themeColor="text1"/>
          <w:sz w:val="24"/>
          <w:szCs w:val="24"/>
          <w:lang w:eastAsia="en-GB"/>
        </w:rPr>
        <w:t>.</w:t>
      </w:r>
      <w:r w:rsidR="00B70FA6">
        <w:rPr>
          <w:rFonts w:ascii="Times New Roman" w:eastAsia="Times New Roman" w:hAnsi="Times New Roman" w:cs="Times New Roman"/>
          <w:color w:val="000000" w:themeColor="text1"/>
          <w:sz w:val="24"/>
          <w:szCs w:val="24"/>
          <w:lang w:eastAsia="en-GB"/>
        </w:rPr>
        <w:t xml:space="preserve"> </w:t>
      </w:r>
      <w:r w:rsidR="00C833BA" w:rsidRPr="0011531B">
        <w:rPr>
          <w:rFonts w:ascii="Times New Roman" w:eastAsia="Times New Roman" w:hAnsi="Times New Roman" w:cs="Times New Roman"/>
          <w:color w:val="000000" w:themeColor="text1"/>
          <w:sz w:val="24"/>
          <w:szCs w:val="24"/>
          <w:lang w:eastAsia="en-GB"/>
        </w:rPr>
        <w:t>The Wald chi-squared statistics on the effects of indicators and the optimum probability parameters’ estimates are obtained.</w:t>
      </w:r>
    </w:p>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The justification for using the test</w:t>
      </w:r>
    </w:p>
    <w:p w:rsidR="00E47B32" w:rsidRPr="0011531B" w:rsidRDefault="00E47B32"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ab/>
        <w:t xml:space="preserve">The researcher was involved in demanding transcript analysis of data in ensuring reliability where initial autonomously coded transcript data and acquire superior reliability of intercoders between the two coder works. </w:t>
      </w:r>
    </w:p>
    <w:p w:rsidR="00941FDF" w:rsidRPr="0011531B" w:rsidRDefault="00920CCE" w:rsidP="0011531B">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11531B">
        <w:rPr>
          <w:rFonts w:ascii="Times New Roman" w:eastAsia="Times New Roman" w:hAnsi="Times New Roman" w:cs="Times New Roman"/>
          <w:b/>
          <w:color w:val="000000" w:themeColor="text1"/>
          <w:sz w:val="24"/>
          <w:szCs w:val="24"/>
          <w:lang w:eastAsia="en-GB"/>
        </w:rPr>
        <w:t>Report and interpret</w:t>
      </w:r>
      <w:r w:rsidR="00737E1A" w:rsidRPr="0011531B">
        <w:rPr>
          <w:rFonts w:ascii="Times New Roman" w:eastAsia="Times New Roman" w:hAnsi="Times New Roman" w:cs="Times New Roman"/>
          <w:b/>
          <w:color w:val="000000" w:themeColor="text1"/>
          <w:sz w:val="24"/>
          <w:szCs w:val="24"/>
          <w:lang w:eastAsia="en-GB"/>
        </w:rPr>
        <w:t>ation of</w:t>
      </w:r>
      <w:r w:rsidR="00B70FA6">
        <w:rPr>
          <w:rFonts w:ascii="Times New Roman" w:eastAsia="Times New Roman" w:hAnsi="Times New Roman" w:cs="Times New Roman"/>
          <w:b/>
          <w:color w:val="000000" w:themeColor="text1"/>
          <w:sz w:val="24"/>
          <w:szCs w:val="24"/>
          <w:lang w:eastAsia="en-GB"/>
        </w:rPr>
        <w:t xml:space="preserve"> </w:t>
      </w:r>
      <w:r w:rsidR="00737E1A" w:rsidRPr="0011531B">
        <w:rPr>
          <w:rFonts w:ascii="Times New Roman" w:eastAsia="Times New Roman" w:hAnsi="Times New Roman" w:cs="Times New Roman"/>
          <w:b/>
          <w:color w:val="000000" w:themeColor="text1"/>
          <w:sz w:val="24"/>
          <w:szCs w:val="24"/>
          <w:lang w:eastAsia="en-GB"/>
        </w:rPr>
        <w:t>findings</w:t>
      </w:r>
    </w:p>
    <w:p w:rsidR="00FA074D"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In conclusion, the results disclose that the probability of retention for regular teachers and NC Teach teachers are considerably higher than the probability for lateral entry educators in year 7, 3, and 2</w:t>
      </w:r>
      <w:r w:rsidR="00822DD4" w:rsidRPr="0011531B">
        <w:rPr>
          <w:rFonts w:ascii="Times New Roman" w:eastAsia="Times New Roman" w:hAnsi="Times New Roman" w:cs="Times New Roman"/>
          <w:color w:val="000000" w:themeColor="text1"/>
          <w:sz w:val="24"/>
          <w:szCs w:val="24"/>
          <w:lang w:eastAsia="en-GB"/>
        </w:rPr>
        <w:t xml:space="preserve"> (West, et al. 2016)</w:t>
      </w:r>
      <w:r w:rsidRPr="0011531B">
        <w:rPr>
          <w:rFonts w:ascii="Times New Roman" w:eastAsia="Times New Roman" w:hAnsi="Times New Roman" w:cs="Times New Roman"/>
          <w:color w:val="000000" w:themeColor="text1"/>
          <w:sz w:val="24"/>
          <w:szCs w:val="24"/>
          <w:lang w:eastAsia="en-GB"/>
        </w:rPr>
        <w:t>. Even though there are no statistically considerable differences between the likelihoods of retention for NC Teach and regular teach</w:t>
      </w:r>
      <w:r w:rsidR="00CF0ADD" w:rsidRPr="0011531B">
        <w:rPr>
          <w:rFonts w:ascii="Times New Roman" w:eastAsia="Times New Roman" w:hAnsi="Times New Roman" w:cs="Times New Roman"/>
          <w:color w:val="000000" w:themeColor="text1"/>
          <w:sz w:val="24"/>
          <w:szCs w:val="24"/>
          <w:lang w:eastAsia="en-GB"/>
        </w:rPr>
        <w:t>ers for Year 2 and Year 3. Retention probability of regular teachers at Year is greater than that of NC Teach educators. NC Teach teachers are about 27% more likely to teach than lateral entry teachers and about 25% more likely to teach than lateral entry teachers especially in year 2. The regular teachers predicted retention probability in Year 3 for NC Teach teachers is 77.6%, for regular teachers is 86.3%, and for lateral entry teachers is 45%. At year 3, it is clear that retention probability of entry teacher is about 33% lower than that of NC Teach educators and about 41% lower than that of regular educators.</w:t>
      </w:r>
      <w:r w:rsidR="009064B6" w:rsidRPr="0011531B">
        <w:rPr>
          <w:rFonts w:ascii="Times New Roman" w:eastAsia="Times New Roman" w:hAnsi="Times New Roman" w:cs="Times New Roman"/>
          <w:color w:val="000000" w:themeColor="text1"/>
          <w:sz w:val="24"/>
          <w:szCs w:val="24"/>
          <w:lang w:eastAsia="en-GB"/>
        </w:rPr>
        <w:t xml:space="preserve"> The retention probability of lateral entry teachers at the year is about 31% lower than that of NC Teach educators and about 51% lower than that of regular educators</w:t>
      </w:r>
      <w:r w:rsidR="00D01E64" w:rsidRPr="0011531B">
        <w:rPr>
          <w:rFonts w:ascii="Times New Roman" w:eastAsia="Times New Roman" w:hAnsi="Times New Roman" w:cs="Times New Roman"/>
          <w:color w:val="000000" w:themeColor="text1"/>
          <w:sz w:val="24"/>
          <w:szCs w:val="24"/>
          <w:lang w:eastAsia="en-GB"/>
        </w:rPr>
        <w:t xml:space="preserve"> (Billingsley, 2004)</w:t>
      </w:r>
      <w:r w:rsidR="009064B6" w:rsidRPr="0011531B">
        <w:rPr>
          <w:rFonts w:ascii="Times New Roman" w:eastAsia="Times New Roman" w:hAnsi="Times New Roman" w:cs="Times New Roman"/>
          <w:color w:val="000000" w:themeColor="text1"/>
          <w:sz w:val="24"/>
          <w:szCs w:val="24"/>
          <w:lang w:eastAsia="en-GB"/>
        </w:rPr>
        <w:t>. It worth noting that of all the variables more generally examined in the research (preparation types, occupation of parent, marital stat</w:t>
      </w:r>
      <w:r w:rsidR="00927A25" w:rsidRPr="0011531B">
        <w:rPr>
          <w:rFonts w:ascii="Times New Roman" w:eastAsia="Times New Roman" w:hAnsi="Times New Roman" w:cs="Times New Roman"/>
          <w:color w:val="000000" w:themeColor="text1"/>
          <w:sz w:val="24"/>
          <w:szCs w:val="24"/>
          <w:lang w:eastAsia="en-GB"/>
        </w:rPr>
        <w:t xml:space="preserve">us, level of school [high school, elementary, or middle school], gender, ethnicity, having children, career plans expressed during the first year of teachings, career plans and ages), only preparation type seems to have obvious predictive retention validity in the profession of teaching. </w:t>
      </w:r>
    </w:p>
    <w:p w:rsidR="00941FDF"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The Education Commission Report of the States is of unique interests particularly regarding the queries</w:t>
      </w:r>
      <w:r w:rsidR="00355FD9" w:rsidRPr="0011531B">
        <w:rPr>
          <w:rFonts w:ascii="Times New Roman" w:eastAsia="Times New Roman" w:hAnsi="Times New Roman" w:cs="Times New Roman"/>
          <w:color w:val="000000" w:themeColor="text1"/>
          <w:sz w:val="24"/>
          <w:szCs w:val="24"/>
          <w:lang w:eastAsia="en-GB"/>
        </w:rPr>
        <w:t>, "are there optional course programs which graduate greater effective new teachers' percentages with normal or greater-than-normal teacher retention rates?" Short term rates of retentions of substitute course, in accordance with the paper, may be equivalent to the conventionally prepared educators, but regarding long term retentions, "the study on this matter has to be viewed as indecisive." The current research indicates that long-term retentions worsen for alternative route educators</w:t>
      </w:r>
      <w:r w:rsidR="00D01E64" w:rsidRPr="0011531B">
        <w:rPr>
          <w:rFonts w:ascii="Times New Roman" w:eastAsia="Times New Roman" w:hAnsi="Times New Roman" w:cs="Times New Roman"/>
          <w:color w:val="000000" w:themeColor="text1"/>
          <w:sz w:val="24"/>
          <w:szCs w:val="24"/>
          <w:lang w:eastAsia="en-GB"/>
        </w:rPr>
        <w:t xml:space="preserve"> (Boyd, et al. 2011)</w:t>
      </w:r>
      <w:r w:rsidR="00355FD9" w:rsidRPr="0011531B">
        <w:rPr>
          <w:rFonts w:ascii="Times New Roman" w:eastAsia="Times New Roman" w:hAnsi="Times New Roman" w:cs="Times New Roman"/>
          <w:color w:val="000000" w:themeColor="text1"/>
          <w:sz w:val="24"/>
          <w:szCs w:val="24"/>
          <w:lang w:eastAsia="en-GB"/>
        </w:rPr>
        <w:t>. Nevertheless, the research lasts for seven years. Long-term retentions for more than seven years or even longer are still issues to be handled by future research. In addition, this research only used sixty teachers. A randomly selected and a larger sample in future studies may add to the validity of results and enhance the population size to which the</w:t>
      </w:r>
      <w:r w:rsidR="00D51E5E" w:rsidRPr="0011531B">
        <w:rPr>
          <w:rFonts w:ascii="Times New Roman" w:eastAsia="Times New Roman" w:hAnsi="Times New Roman" w:cs="Times New Roman"/>
          <w:color w:val="000000" w:themeColor="text1"/>
          <w:sz w:val="24"/>
          <w:szCs w:val="24"/>
          <w:lang w:eastAsia="en-GB"/>
        </w:rPr>
        <w:t>re is the possibility of generalization of findings.</w:t>
      </w:r>
    </w:p>
    <w:p w:rsidR="00D01E64"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One clarification for the lower lateral entry teachers’ retention rate can be obtained in this study</w:t>
      </w:r>
      <w:r w:rsidR="00272FBC" w:rsidRPr="0011531B">
        <w:rPr>
          <w:rFonts w:ascii="Times New Roman" w:eastAsia="Times New Roman" w:hAnsi="Times New Roman" w:cs="Times New Roman"/>
          <w:color w:val="000000" w:themeColor="text1"/>
          <w:sz w:val="24"/>
          <w:szCs w:val="24"/>
          <w:lang w:eastAsia="en-GB"/>
        </w:rPr>
        <w:t xml:space="preserve"> (Hughes, Matt, &amp; O'Reilly, 2015)</w:t>
      </w:r>
      <w:r w:rsidRPr="0011531B">
        <w:rPr>
          <w:rFonts w:ascii="Times New Roman" w:eastAsia="Times New Roman" w:hAnsi="Times New Roman" w:cs="Times New Roman"/>
          <w:color w:val="000000" w:themeColor="text1"/>
          <w:sz w:val="24"/>
          <w:szCs w:val="24"/>
          <w:lang w:eastAsia="en-GB"/>
        </w:rPr>
        <w:t xml:space="preserve">. The research argues that fully certified educators are likely to work in advantage and more affluent schools and lateral entry educators are more likely to work in non-white students' schools, with populations and poor learners and are less disadvantaged.  Future research is required to explore the school environments and schools types where the educators teach is assessing the effects of deprived learning institutions on lateral entry teachers' retention. Some factors of environments of the schools like inadequate school support and student </w:t>
      </w:r>
      <w:r w:rsidR="00BA5C83" w:rsidRPr="0011531B">
        <w:rPr>
          <w:rFonts w:ascii="Times New Roman" w:eastAsia="Times New Roman" w:hAnsi="Times New Roman" w:cs="Times New Roman"/>
          <w:color w:val="000000" w:themeColor="text1"/>
          <w:sz w:val="24"/>
          <w:szCs w:val="24"/>
          <w:lang w:eastAsia="en-GB"/>
        </w:rPr>
        <w:t>behaviors</w:t>
      </w:r>
      <w:r w:rsidRPr="0011531B">
        <w:rPr>
          <w:rFonts w:ascii="Times New Roman" w:eastAsia="Times New Roman" w:hAnsi="Times New Roman" w:cs="Times New Roman"/>
          <w:color w:val="000000" w:themeColor="text1"/>
          <w:sz w:val="24"/>
          <w:szCs w:val="24"/>
          <w:lang w:eastAsia="en-GB"/>
        </w:rPr>
        <w:t xml:space="preserve"> are usually cited as factors which </w:t>
      </w:r>
      <w:r w:rsidR="00BA5C83" w:rsidRPr="0011531B">
        <w:rPr>
          <w:rFonts w:ascii="Times New Roman" w:eastAsia="Times New Roman" w:hAnsi="Times New Roman" w:cs="Times New Roman"/>
          <w:color w:val="000000" w:themeColor="text1"/>
          <w:sz w:val="24"/>
          <w:szCs w:val="24"/>
          <w:lang w:eastAsia="en-GB"/>
        </w:rPr>
        <w:t>make teachers to leave teaching or change schools and can surely play roles in lateral entry teachers’ career decisions</w:t>
      </w:r>
      <w:r w:rsidR="00272FBC" w:rsidRPr="0011531B">
        <w:rPr>
          <w:rFonts w:ascii="Times New Roman" w:hAnsi="Times New Roman" w:cs="Times New Roman"/>
          <w:color w:val="000000" w:themeColor="text1"/>
          <w:sz w:val="24"/>
          <w:szCs w:val="24"/>
        </w:rPr>
        <w:t>(</w:t>
      </w:r>
      <w:r w:rsidR="00272FBC" w:rsidRPr="0011531B">
        <w:rPr>
          <w:rFonts w:ascii="Times New Roman" w:eastAsia="Times New Roman" w:hAnsi="Times New Roman" w:cs="Times New Roman"/>
          <w:color w:val="000000" w:themeColor="text1"/>
          <w:sz w:val="24"/>
          <w:szCs w:val="24"/>
          <w:lang w:eastAsia="en-GB"/>
        </w:rPr>
        <w:t>Papay, et al. 2017)</w:t>
      </w:r>
      <w:r w:rsidR="00BA5C83" w:rsidRPr="0011531B">
        <w:rPr>
          <w:rFonts w:ascii="Times New Roman" w:eastAsia="Times New Roman" w:hAnsi="Times New Roman" w:cs="Times New Roman"/>
          <w:color w:val="000000" w:themeColor="text1"/>
          <w:sz w:val="24"/>
          <w:szCs w:val="24"/>
          <w:lang w:eastAsia="en-GB"/>
        </w:rPr>
        <w:t>. One might conclude that the type of preparation is only partly responsible for high attritions among horizontal entry educators in case a strong effect is noted.</w:t>
      </w:r>
    </w:p>
    <w:p w:rsidR="002171D9"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Another explanation can exist in the educators themselves</w:t>
      </w:r>
      <w:r w:rsidR="00822DD4" w:rsidRPr="0011531B">
        <w:rPr>
          <w:rFonts w:ascii="Times New Roman" w:eastAsia="Times New Roman" w:hAnsi="Times New Roman" w:cs="Times New Roman"/>
          <w:color w:val="000000" w:themeColor="text1"/>
          <w:sz w:val="24"/>
          <w:szCs w:val="24"/>
          <w:lang w:eastAsia="en-GB"/>
        </w:rPr>
        <w:t xml:space="preserve"> (West, et al. 2016)</w:t>
      </w:r>
      <w:r w:rsidRPr="0011531B">
        <w:rPr>
          <w:rFonts w:ascii="Times New Roman" w:eastAsia="Times New Roman" w:hAnsi="Times New Roman" w:cs="Times New Roman"/>
          <w:color w:val="000000" w:themeColor="text1"/>
          <w:sz w:val="24"/>
          <w:szCs w:val="24"/>
          <w:lang w:eastAsia="en-GB"/>
        </w:rPr>
        <w:t xml:space="preserve">. Learners in the programs of teacher education pursue careers which remind them to prompt them of their educational experiences and the way they mingled into focusing pedagogy and prioritizing learning. Irrespective of populations of the students, they seek out employers with similar organizational structures and cultures of their colleges or universities. </w:t>
      </w:r>
      <w:r w:rsidR="00221D7E" w:rsidRPr="0011531B">
        <w:rPr>
          <w:rFonts w:ascii="Times New Roman" w:eastAsia="Times New Roman" w:hAnsi="Times New Roman" w:cs="Times New Roman"/>
          <w:color w:val="000000" w:themeColor="text1"/>
          <w:sz w:val="24"/>
          <w:szCs w:val="24"/>
          <w:lang w:eastAsia="en-GB"/>
        </w:rPr>
        <w:t>The lateral entry teachers, in contrast, lack experiential foundation where to when it comes to the time of seeking jobs in schools. They lack experiences to anticipate good leadership or mentoring.</w:t>
      </w:r>
    </w:p>
    <w:p w:rsidR="00DC09A0" w:rsidRPr="0011531B" w:rsidRDefault="00920CCE" w:rsidP="0011531B">
      <w:pPr>
        <w:shd w:val="clear" w:color="auto" w:fill="FFFFFF"/>
        <w:spacing w:after="0" w:line="480" w:lineRule="auto"/>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To paycheck is the first priority. Nevertheless, the major reason the horizontal entry educators remain at lower rates compared to NC Teach and regularly prepared educators can be that they are just not well prepared for the classes as compared to other two teachers' types. The regularly prepared educators in comparison have taken four years learning both their professional pedagogies and their contents and have at least a full-time student teaching semester. The NC teachers have spent time studying courses in pedagogies, plus a summer in full-time training and studying educational courses</w:t>
      </w:r>
      <w:r w:rsidR="00822DD4" w:rsidRPr="0011531B">
        <w:rPr>
          <w:rFonts w:ascii="Times New Roman" w:hAnsi="Times New Roman" w:cs="Times New Roman"/>
          <w:color w:val="000000" w:themeColor="text1"/>
          <w:sz w:val="24"/>
          <w:szCs w:val="24"/>
        </w:rPr>
        <w:t xml:space="preserve"> (Zhang &amp; Zeller, 2016)</w:t>
      </w:r>
      <w:r w:rsidRPr="0011531B">
        <w:rPr>
          <w:rFonts w:ascii="Times New Roman" w:eastAsia="Times New Roman" w:hAnsi="Times New Roman" w:cs="Times New Roman"/>
          <w:color w:val="000000" w:themeColor="text1"/>
          <w:sz w:val="24"/>
          <w:szCs w:val="24"/>
          <w:lang w:eastAsia="en-GB"/>
        </w:rPr>
        <w:t xml:space="preserve">. The horizontal entry educators </w:t>
      </w:r>
      <w:r w:rsidR="00DC4320" w:rsidRPr="0011531B">
        <w:rPr>
          <w:rFonts w:ascii="Times New Roman" w:eastAsia="Times New Roman" w:hAnsi="Times New Roman" w:cs="Times New Roman"/>
          <w:color w:val="000000" w:themeColor="text1"/>
          <w:sz w:val="24"/>
          <w:szCs w:val="24"/>
          <w:lang w:eastAsia="en-GB"/>
        </w:rPr>
        <w:t xml:space="preserve">do not </w:t>
      </w:r>
      <w:r w:rsidRPr="0011531B">
        <w:rPr>
          <w:rFonts w:ascii="Times New Roman" w:eastAsia="Times New Roman" w:hAnsi="Times New Roman" w:cs="Times New Roman"/>
          <w:color w:val="000000" w:themeColor="text1"/>
          <w:sz w:val="24"/>
          <w:szCs w:val="24"/>
          <w:lang w:eastAsia="en-GB"/>
        </w:rPr>
        <w:t xml:space="preserve">preparations in pedagogies </w:t>
      </w:r>
      <w:r w:rsidR="00DC4320" w:rsidRPr="0011531B">
        <w:rPr>
          <w:rFonts w:ascii="Times New Roman" w:eastAsia="Times New Roman" w:hAnsi="Times New Roman" w:cs="Times New Roman"/>
          <w:color w:val="000000" w:themeColor="text1"/>
          <w:sz w:val="24"/>
          <w:szCs w:val="24"/>
          <w:lang w:eastAsia="en-GB"/>
        </w:rPr>
        <w:t>at all at the beginning. They only start part-time pedagogical classes after beginning teaching.</w:t>
      </w:r>
    </w:p>
    <w:p w:rsidR="00DC4320" w:rsidRPr="0011531B" w:rsidRDefault="00920CCE" w:rsidP="0011531B">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My research partly affirms that programs of traditional certifications lead to higher retentions than lateral entry (ACPs)</w:t>
      </w:r>
      <w:r w:rsidR="00D01E64" w:rsidRPr="0011531B">
        <w:rPr>
          <w:rFonts w:ascii="Times New Roman" w:eastAsia="Times New Roman" w:hAnsi="Times New Roman" w:cs="Times New Roman"/>
          <w:color w:val="000000" w:themeColor="text1"/>
          <w:sz w:val="24"/>
          <w:szCs w:val="24"/>
          <w:lang w:eastAsia="en-GB"/>
        </w:rPr>
        <w:t>(Billingsley, 2004)</w:t>
      </w:r>
      <w:r w:rsidRPr="0011531B">
        <w:rPr>
          <w:rFonts w:ascii="Times New Roman" w:eastAsia="Times New Roman" w:hAnsi="Times New Roman" w:cs="Times New Roman"/>
          <w:color w:val="000000" w:themeColor="text1"/>
          <w:sz w:val="24"/>
          <w:szCs w:val="24"/>
          <w:lang w:eastAsia="en-GB"/>
        </w:rPr>
        <w:t xml:space="preserve">. The importance of the current research results is obvious: Policymakers who invest capital in programs of special alternative licensures wisely invest; at least during the first three years, as the especially supported educators seem to remain in their careers as teachers at about similar rates are recurrently prepared educators. It seems obvious at the same time that paths of horizontal entry alternative licensures present stumble blocks for novice teachers to overcome. Subsequently, it would make sense for educational leaders and policymakers </w:t>
      </w:r>
      <w:r w:rsidR="00497D67" w:rsidRPr="0011531B">
        <w:rPr>
          <w:rFonts w:ascii="Times New Roman" w:eastAsia="Times New Roman" w:hAnsi="Times New Roman" w:cs="Times New Roman"/>
          <w:color w:val="000000" w:themeColor="text1"/>
          <w:sz w:val="24"/>
          <w:szCs w:val="24"/>
          <w:lang w:eastAsia="en-GB"/>
        </w:rPr>
        <w:t>from the communities, colleges and universities to reinforce existing programs of alternative licensure as well as to remain improving the special programs of alternative licensure such as NC Teach</w:t>
      </w:r>
      <w:r w:rsidR="00D01E64" w:rsidRPr="0011531B">
        <w:rPr>
          <w:rFonts w:ascii="Times New Roman" w:eastAsia="Times New Roman" w:hAnsi="Times New Roman" w:cs="Times New Roman"/>
          <w:color w:val="000000" w:themeColor="text1"/>
          <w:sz w:val="24"/>
          <w:szCs w:val="24"/>
          <w:lang w:eastAsia="en-GB"/>
        </w:rPr>
        <w:t xml:space="preserve"> (Boyd, et al. 2011)</w:t>
      </w:r>
      <w:r w:rsidR="00497D67" w:rsidRPr="0011531B">
        <w:rPr>
          <w:rFonts w:ascii="Times New Roman" w:eastAsia="Times New Roman" w:hAnsi="Times New Roman" w:cs="Times New Roman"/>
          <w:color w:val="000000" w:themeColor="text1"/>
          <w:sz w:val="24"/>
          <w:szCs w:val="24"/>
          <w:lang w:eastAsia="en-GB"/>
        </w:rPr>
        <w:t xml:space="preserve">. Nevertheless, the attrition and retention of teachers are not exclusively dependent on preparation methods but also depend on: parents of pupils, programs of teacher preparation, perceived support from school districts, knowledge, competency, personal background, and access to resources of teaching. </w:t>
      </w:r>
    </w:p>
    <w:p w:rsidR="0011531B" w:rsidRDefault="0011531B" w:rsidP="0011531B">
      <w:pPr>
        <w:spacing w:line="480" w:lineRule="auto"/>
        <w:jc w:val="center"/>
        <w:rPr>
          <w:rFonts w:ascii="Times New Roman" w:eastAsia="Times New Roman" w:hAnsi="Times New Roman" w:cs="Times New Roman"/>
          <w:color w:val="000000" w:themeColor="text1"/>
          <w:sz w:val="24"/>
          <w:szCs w:val="24"/>
          <w:lang w:eastAsia="en-GB"/>
        </w:rPr>
      </w:pPr>
    </w:p>
    <w:p w:rsidR="0011531B" w:rsidRDefault="0011531B" w:rsidP="0011531B">
      <w:pPr>
        <w:spacing w:line="480" w:lineRule="auto"/>
        <w:jc w:val="center"/>
        <w:rPr>
          <w:rFonts w:ascii="Times New Roman" w:eastAsia="Times New Roman" w:hAnsi="Times New Roman" w:cs="Times New Roman"/>
          <w:color w:val="000000" w:themeColor="text1"/>
          <w:sz w:val="24"/>
          <w:szCs w:val="24"/>
          <w:lang w:eastAsia="en-GB"/>
        </w:rPr>
      </w:pPr>
    </w:p>
    <w:p w:rsidR="00941FDF" w:rsidRPr="0011531B" w:rsidRDefault="00920CCE" w:rsidP="0011531B">
      <w:pPr>
        <w:spacing w:line="480" w:lineRule="auto"/>
        <w:jc w:val="center"/>
        <w:rPr>
          <w:rFonts w:ascii="Times New Roman" w:eastAsia="Times New Roman" w:hAnsi="Times New Roman" w:cs="Times New Roman"/>
          <w:color w:val="000000" w:themeColor="text1"/>
          <w:sz w:val="24"/>
          <w:szCs w:val="24"/>
          <w:lang w:eastAsia="en-GB"/>
        </w:rPr>
      </w:pPr>
      <w:r w:rsidRPr="0011531B">
        <w:rPr>
          <w:rFonts w:ascii="Times New Roman" w:eastAsia="Times New Roman" w:hAnsi="Times New Roman" w:cs="Times New Roman"/>
          <w:color w:val="000000" w:themeColor="text1"/>
          <w:sz w:val="24"/>
          <w:szCs w:val="24"/>
          <w:lang w:eastAsia="en-GB"/>
        </w:rPr>
        <w:t>References</w:t>
      </w:r>
    </w:p>
    <w:p w:rsidR="00C833BA" w:rsidRPr="0011531B" w:rsidRDefault="00920CCE" w:rsidP="0011531B">
      <w:pPr>
        <w:spacing w:line="480" w:lineRule="auto"/>
        <w:ind w:left="720" w:hanging="720"/>
        <w:rPr>
          <w:rFonts w:ascii="Times New Roman" w:hAnsi="Times New Roman" w:cs="Times New Roman"/>
          <w:color w:val="000000" w:themeColor="text1"/>
          <w:sz w:val="24"/>
          <w:szCs w:val="24"/>
        </w:rPr>
      </w:pPr>
      <w:r w:rsidRPr="0011531B">
        <w:rPr>
          <w:rFonts w:ascii="Times New Roman" w:hAnsi="Times New Roman" w:cs="Times New Roman"/>
          <w:color w:val="000000" w:themeColor="text1"/>
          <w:sz w:val="24"/>
          <w:szCs w:val="24"/>
        </w:rPr>
        <w:t>Billingsley, B. S. (2004). Special education teacher retention and attrition: A critical analysis of the research literature. The Journal of Special Education, 38(1), 39-55.</w:t>
      </w:r>
    </w:p>
    <w:p w:rsidR="00C833BA" w:rsidRPr="0011531B" w:rsidRDefault="00920CCE" w:rsidP="0011531B">
      <w:pPr>
        <w:spacing w:line="480" w:lineRule="auto"/>
        <w:ind w:left="720" w:hanging="720"/>
        <w:rPr>
          <w:rFonts w:ascii="Times New Roman" w:hAnsi="Times New Roman" w:cs="Times New Roman"/>
          <w:color w:val="000000" w:themeColor="text1"/>
          <w:sz w:val="24"/>
          <w:szCs w:val="24"/>
        </w:rPr>
      </w:pPr>
      <w:r w:rsidRPr="0011531B">
        <w:rPr>
          <w:rFonts w:ascii="Times New Roman" w:hAnsi="Times New Roman" w:cs="Times New Roman"/>
          <w:color w:val="000000" w:themeColor="text1"/>
          <w:sz w:val="24"/>
          <w:szCs w:val="24"/>
        </w:rPr>
        <w:t>Boyd, D., Grossman, P., Ing, M., Lankford, H., Loeb, S., &amp; Wyckoff, J. (2011). The influence of school administrators on teacher retention decisions. American Educational Research Journal, 48(2), 303-333.</w:t>
      </w:r>
    </w:p>
    <w:p w:rsidR="00C833BA" w:rsidRPr="0011531B" w:rsidRDefault="00920CCE" w:rsidP="0011531B">
      <w:pPr>
        <w:spacing w:line="480" w:lineRule="auto"/>
        <w:ind w:left="720" w:hanging="720"/>
        <w:rPr>
          <w:rFonts w:ascii="Times New Roman" w:hAnsi="Times New Roman" w:cs="Times New Roman"/>
          <w:color w:val="000000" w:themeColor="text1"/>
          <w:sz w:val="24"/>
          <w:szCs w:val="24"/>
        </w:rPr>
      </w:pPr>
      <w:r w:rsidRPr="0011531B">
        <w:rPr>
          <w:rFonts w:ascii="Times New Roman" w:hAnsi="Times New Roman" w:cs="Times New Roman"/>
          <w:color w:val="000000" w:themeColor="text1"/>
          <w:sz w:val="24"/>
          <w:szCs w:val="24"/>
        </w:rPr>
        <w:t>Hughes, A. L., Matt, J. J., &amp; O'Reilly, F. L. (2015). Principal Support Is Imperative to the Retention of Teachers in Hard-to-Staff Schools. Journal of Education and Training Studies, 3(1), 129-134.</w:t>
      </w:r>
    </w:p>
    <w:p w:rsidR="00C833BA" w:rsidRPr="0011531B" w:rsidRDefault="00920CCE" w:rsidP="0011531B">
      <w:pPr>
        <w:spacing w:line="480" w:lineRule="auto"/>
        <w:ind w:left="720" w:hanging="720"/>
        <w:rPr>
          <w:rFonts w:ascii="Times New Roman" w:hAnsi="Times New Roman" w:cs="Times New Roman"/>
          <w:color w:val="000000" w:themeColor="text1"/>
          <w:sz w:val="24"/>
          <w:szCs w:val="24"/>
        </w:rPr>
      </w:pPr>
      <w:r w:rsidRPr="0011531B">
        <w:rPr>
          <w:rFonts w:ascii="Times New Roman" w:hAnsi="Times New Roman" w:cs="Times New Roman"/>
          <w:color w:val="000000" w:themeColor="text1"/>
          <w:sz w:val="24"/>
          <w:szCs w:val="24"/>
        </w:rPr>
        <w:t>Papay, J. P., Bacher-Hicks, A., Page, L. C., &amp; Marinell, W. H. (2017). The challenge of teacher retention in urban schools: Evidence of variation from a cross-site analysis. Educational Researcher, 46(8), 434-448</w:t>
      </w:r>
    </w:p>
    <w:p w:rsidR="00C833BA" w:rsidRPr="0011531B" w:rsidRDefault="00920CCE" w:rsidP="0011531B">
      <w:pPr>
        <w:spacing w:line="480" w:lineRule="auto"/>
        <w:ind w:left="720" w:hanging="720"/>
        <w:rPr>
          <w:rFonts w:ascii="Times New Roman" w:hAnsi="Times New Roman" w:cs="Times New Roman"/>
          <w:color w:val="000000" w:themeColor="text1"/>
          <w:sz w:val="24"/>
          <w:szCs w:val="24"/>
        </w:rPr>
      </w:pPr>
      <w:r w:rsidRPr="0011531B">
        <w:rPr>
          <w:rFonts w:ascii="Times New Roman" w:hAnsi="Times New Roman" w:cs="Times New Roman"/>
          <w:color w:val="000000" w:themeColor="text1"/>
          <w:sz w:val="24"/>
          <w:szCs w:val="24"/>
        </w:rPr>
        <w:t>West, D., Huijser, H., Heath, D., Lizzio, A., Toohey, D., Miles, C., ...&amp; Bronnimann, J. (2016). Higher education teachers’ experiences with learning analytics in relation to student retention. Australasian Journal of Educational Technology, 32(5), 48-60.</w:t>
      </w:r>
    </w:p>
    <w:p w:rsidR="00C833BA" w:rsidRPr="0011531B" w:rsidRDefault="00920CCE" w:rsidP="0011531B">
      <w:pPr>
        <w:spacing w:line="480" w:lineRule="auto"/>
        <w:ind w:left="720" w:hanging="720"/>
        <w:rPr>
          <w:rFonts w:ascii="Times New Roman" w:hAnsi="Times New Roman" w:cs="Times New Roman"/>
          <w:color w:val="000000" w:themeColor="text1"/>
          <w:sz w:val="24"/>
          <w:szCs w:val="24"/>
        </w:rPr>
      </w:pPr>
      <w:r w:rsidRPr="0011531B">
        <w:rPr>
          <w:rFonts w:ascii="Times New Roman" w:hAnsi="Times New Roman" w:cs="Times New Roman"/>
          <w:color w:val="000000" w:themeColor="text1"/>
          <w:sz w:val="24"/>
          <w:szCs w:val="24"/>
        </w:rPr>
        <w:t>Zhang, G., &amp; Zeller, N. (2016).A longitudinal investigation of the relationship between teacher preparation and teacher retention. Teacher Education Quarterly, 43(2), 73-92.</w:t>
      </w:r>
    </w:p>
    <w:sectPr w:rsidR="00C833BA" w:rsidRPr="0011531B" w:rsidSect="00DA1F18">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755" w:rsidRDefault="00991755">
      <w:pPr>
        <w:spacing w:after="0" w:line="240" w:lineRule="auto"/>
      </w:pPr>
      <w:r>
        <w:separator/>
      </w:r>
    </w:p>
  </w:endnote>
  <w:endnote w:type="continuationSeparator" w:id="1">
    <w:p w:rsidR="00991755" w:rsidRDefault="00991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755" w:rsidRDefault="00991755">
      <w:pPr>
        <w:spacing w:after="0" w:line="240" w:lineRule="auto"/>
      </w:pPr>
      <w:r>
        <w:separator/>
      </w:r>
    </w:p>
  </w:footnote>
  <w:footnote w:type="continuationSeparator" w:id="1">
    <w:p w:rsidR="00991755" w:rsidRDefault="00991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40197"/>
      <w:docPartObj>
        <w:docPartGallery w:val="Page Numbers (Top of Page)"/>
        <w:docPartUnique/>
      </w:docPartObj>
    </w:sdtPr>
    <w:sdtContent>
      <w:p w:rsidR="00B7103F" w:rsidRPr="00DA1F18" w:rsidRDefault="00DA1F18" w:rsidP="00DA1F18">
        <w:pPr>
          <w:pStyle w:val="Header"/>
          <w:tabs>
            <w:tab w:val="right" w:pos="9026"/>
          </w:tabs>
          <w:rPr>
            <w:rFonts w:ascii="Times New Roman" w:hAnsi="Times New Roman" w:cs="Times New Roman"/>
            <w:sz w:val="24"/>
            <w:szCs w:val="24"/>
          </w:rPr>
        </w:pPr>
        <w:r w:rsidRPr="00DA1F18">
          <w:rPr>
            <w:rFonts w:ascii="Times New Roman" w:hAnsi="Times New Roman" w:cs="Times New Roman"/>
            <w:sz w:val="24"/>
            <w:szCs w:val="24"/>
          </w:rPr>
          <w:t>SELF-DESIGNED FICTITIOUS STUDY</w:t>
        </w:r>
        <w:r w:rsidRPr="00DA1F18">
          <w:rPr>
            <w:rFonts w:ascii="Times New Roman" w:hAnsi="Times New Roman" w:cs="Times New Roman"/>
            <w:sz w:val="24"/>
            <w:szCs w:val="24"/>
          </w:rPr>
          <w:tab/>
        </w:r>
        <w:r w:rsidRPr="00DA1F18">
          <w:rPr>
            <w:rFonts w:ascii="Times New Roman" w:hAnsi="Times New Roman" w:cs="Times New Roman"/>
            <w:sz w:val="24"/>
            <w:szCs w:val="24"/>
          </w:rPr>
          <w:tab/>
        </w:r>
        <w:r w:rsidRPr="00DA1F18">
          <w:rPr>
            <w:rFonts w:ascii="Times New Roman" w:hAnsi="Times New Roman" w:cs="Times New Roman"/>
            <w:sz w:val="24"/>
            <w:szCs w:val="24"/>
          </w:rPr>
          <w:fldChar w:fldCharType="begin"/>
        </w:r>
        <w:r w:rsidRPr="00DA1F18">
          <w:rPr>
            <w:rFonts w:ascii="Times New Roman" w:hAnsi="Times New Roman" w:cs="Times New Roman"/>
            <w:sz w:val="24"/>
            <w:szCs w:val="24"/>
          </w:rPr>
          <w:instrText xml:space="preserve"> PAGE   \* MERGEFORMAT </w:instrText>
        </w:r>
        <w:r w:rsidRPr="00DA1F18">
          <w:rPr>
            <w:rFonts w:ascii="Times New Roman" w:hAnsi="Times New Roman" w:cs="Times New Roman"/>
            <w:sz w:val="24"/>
            <w:szCs w:val="24"/>
          </w:rPr>
          <w:fldChar w:fldCharType="separate"/>
        </w:r>
        <w:r w:rsidR="00B70FA6">
          <w:rPr>
            <w:rFonts w:ascii="Times New Roman" w:hAnsi="Times New Roman" w:cs="Times New Roman"/>
            <w:noProof/>
            <w:sz w:val="24"/>
            <w:szCs w:val="24"/>
          </w:rPr>
          <w:t>2</w:t>
        </w:r>
        <w:r w:rsidRPr="00DA1F1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D4" w:rsidRPr="00DA1F18" w:rsidRDefault="00DA1F18" w:rsidP="00DA1F18">
    <w:pPr>
      <w:pStyle w:val="Header"/>
      <w:jc w:val="right"/>
      <w:rPr>
        <w:rFonts w:ascii="Times New Roman" w:hAnsi="Times New Roman" w:cs="Times New Roman"/>
        <w:sz w:val="24"/>
        <w:szCs w:val="24"/>
      </w:rPr>
    </w:pPr>
    <w:r w:rsidRPr="00DA1F18">
      <w:rPr>
        <w:rFonts w:ascii="Times New Roman" w:hAnsi="Times New Roman" w:cs="Times New Roman"/>
        <w:sz w:val="24"/>
        <w:szCs w:val="24"/>
      </w:rPr>
      <w:t>Running head: SELF-DESIGNED FICTITIOUS STUDY</w:t>
    </w:r>
    <w:r w:rsidRPr="00DA1F18">
      <w:rPr>
        <w:rFonts w:ascii="Times New Roman" w:hAnsi="Times New Roman" w:cs="Times New Roman"/>
        <w:sz w:val="24"/>
        <w:szCs w:val="24"/>
      </w:rPr>
      <w:tab/>
    </w:r>
    <w:sdt>
      <w:sdtPr>
        <w:rPr>
          <w:rFonts w:ascii="Times New Roman" w:hAnsi="Times New Roman" w:cs="Times New Roman"/>
          <w:sz w:val="24"/>
          <w:szCs w:val="24"/>
        </w:rPr>
        <w:id w:val="3440146"/>
        <w:docPartObj>
          <w:docPartGallery w:val="Page Numbers (Top of Page)"/>
          <w:docPartUnique/>
        </w:docPartObj>
      </w:sdtPr>
      <w:sdtContent>
        <w:r w:rsidRPr="00DA1F18">
          <w:rPr>
            <w:rFonts w:ascii="Times New Roman" w:hAnsi="Times New Roman" w:cs="Times New Roman"/>
            <w:sz w:val="24"/>
            <w:szCs w:val="24"/>
          </w:rPr>
          <w:fldChar w:fldCharType="begin"/>
        </w:r>
        <w:r w:rsidRPr="00DA1F18">
          <w:rPr>
            <w:rFonts w:ascii="Times New Roman" w:hAnsi="Times New Roman" w:cs="Times New Roman"/>
            <w:sz w:val="24"/>
            <w:szCs w:val="24"/>
          </w:rPr>
          <w:instrText xml:space="preserve"> PAGE   \* MERGEFORMAT </w:instrText>
        </w:r>
        <w:r w:rsidRPr="00DA1F18">
          <w:rPr>
            <w:rFonts w:ascii="Times New Roman" w:hAnsi="Times New Roman" w:cs="Times New Roman"/>
            <w:sz w:val="24"/>
            <w:szCs w:val="24"/>
          </w:rPr>
          <w:fldChar w:fldCharType="separate"/>
        </w:r>
        <w:r w:rsidR="00991755">
          <w:rPr>
            <w:rFonts w:ascii="Times New Roman" w:hAnsi="Times New Roman" w:cs="Times New Roman"/>
            <w:noProof/>
            <w:sz w:val="24"/>
            <w:szCs w:val="24"/>
          </w:rPr>
          <w:t>1</w:t>
        </w:r>
        <w:r w:rsidRPr="00DA1F1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D0F0E"/>
    <w:multiLevelType w:val="hybridMultilevel"/>
    <w:tmpl w:val="90442E26"/>
    <w:lvl w:ilvl="0" w:tplc="9A9499D4">
      <w:start w:val="1"/>
      <w:numFmt w:val="bullet"/>
      <w:lvlText w:val=""/>
      <w:lvlJc w:val="left"/>
      <w:pPr>
        <w:ind w:left="720" w:hanging="360"/>
      </w:pPr>
      <w:rPr>
        <w:rFonts w:ascii="Symbol" w:hAnsi="Symbol" w:hint="default"/>
      </w:rPr>
    </w:lvl>
    <w:lvl w:ilvl="1" w:tplc="F998CCFA">
      <w:start w:val="1"/>
      <w:numFmt w:val="bullet"/>
      <w:lvlText w:val="o"/>
      <w:lvlJc w:val="left"/>
      <w:pPr>
        <w:ind w:left="1440" w:hanging="360"/>
      </w:pPr>
      <w:rPr>
        <w:rFonts w:ascii="Courier New" w:hAnsi="Courier New" w:cs="Courier New" w:hint="default"/>
      </w:rPr>
    </w:lvl>
    <w:lvl w:ilvl="2" w:tplc="35241DB8">
      <w:start w:val="1"/>
      <w:numFmt w:val="bullet"/>
      <w:lvlText w:val=""/>
      <w:lvlJc w:val="left"/>
      <w:pPr>
        <w:ind w:left="2160" w:hanging="360"/>
      </w:pPr>
      <w:rPr>
        <w:rFonts w:ascii="Wingdings" w:hAnsi="Wingdings" w:hint="default"/>
      </w:rPr>
    </w:lvl>
    <w:lvl w:ilvl="3" w:tplc="83EA16CE">
      <w:start w:val="1"/>
      <w:numFmt w:val="bullet"/>
      <w:lvlText w:val=""/>
      <w:lvlJc w:val="left"/>
      <w:pPr>
        <w:ind w:left="2880" w:hanging="360"/>
      </w:pPr>
      <w:rPr>
        <w:rFonts w:ascii="Symbol" w:hAnsi="Symbol" w:hint="default"/>
      </w:rPr>
    </w:lvl>
    <w:lvl w:ilvl="4" w:tplc="429CACF4">
      <w:start w:val="1"/>
      <w:numFmt w:val="bullet"/>
      <w:lvlText w:val="o"/>
      <w:lvlJc w:val="left"/>
      <w:pPr>
        <w:ind w:left="3600" w:hanging="360"/>
      </w:pPr>
      <w:rPr>
        <w:rFonts w:ascii="Courier New" w:hAnsi="Courier New" w:cs="Courier New" w:hint="default"/>
      </w:rPr>
    </w:lvl>
    <w:lvl w:ilvl="5" w:tplc="B2645430">
      <w:start w:val="1"/>
      <w:numFmt w:val="bullet"/>
      <w:lvlText w:val=""/>
      <w:lvlJc w:val="left"/>
      <w:pPr>
        <w:ind w:left="4320" w:hanging="360"/>
      </w:pPr>
      <w:rPr>
        <w:rFonts w:ascii="Wingdings" w:hAnsi="Wingdings" w:hint="default"/>
      </w:rPr>
    </w:lvl>
    <w:lvl w:ilvl="6" w:tplc="35EE70BE">
      <w:start w:val="1"/>
      <w:numFmt w:val="bullet"/>
      <w:lvlText w:val=""/>
      <w:lvlJc w:val="left"/>
      <w:pPr>
        <w:ind w:left="5040" w:hanging="360"/>
      </w:pPr>
      <w:rPr>
        <w:rFonts w:ascii="Symbol" w:hAnsi="Symbol" w:hint="default"/>
      </w:rPr>
    </w:lvl>
    <w:lvl w:ilvl="7" w:tplc="A47EE2B6">
      <w:start w:val="1"/>
      <w:numFmt w:val="bullet"/>
      <w:lvlText w:val="o"/>
      <w:lvlJc w:val="left"/>
      <w:pPr>
        <w:ind w:left="5760" w:hanging="360"/>
      </w:pPr>
      <w:rPr>
        <w:rFonts w:ascii="Courier New" w:hAnsi="Courier New" w:cs="Courier New" w:hint="default"/>
      </w:rPr>
    </w:lvl>
    <w:lvl w:ilvl="8" w:tplc="E438DF5E">
      <w:start w:val="1"/>
      <w:numFmt w:val="bullet"/>
      <w:lvlText w:val=""/>
      <w:lvlJc w:val="left"/>
      <w:pPr>
        <w:ind w:left="6480" w:hanging="360"/>
      </w:pPr>
      <w:rPr>
        <w:rFonts w:ascii="Wingdings" w:hAnsi="Wingdings" w:hint="default"/>
      </w:rPr>
    </w:lvl>
  </w:abstractNum>
  <w:abstractNum w:abstractNumId="1">
    <w:nsid w:val="33B15094"/>
    <w:multiLevelType w:val="hybridMultilevel"/>
    <w:tmpl w:val="1F624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941FDF"/>
    <w:rsid w:val="0003281E"/>
    <w:rsid w:val="000464BF"/>
    <w:rsid w:val="00051A18"/>
    <w:rsid w:val="000B0564"/>
    <w:rsid w:val="000D6E6E"/>
    <w:rsid w:val="000F765C"/>
    <w:rsid w:val="0011531B"/>
    <w:rsid w:val="00120BFF"/>
    <w:rsid w:val="001244BE"/>
    <w:rsid w:val="00167B2E"/>
    <w:rsid w:val="001B053B"/>
    <w:rsid w:val="001C1A42"/>
    <w:rsid w:val="001E41E3"/>
    <w:rsid w:val="00213D44"/>
    <w:rsid w:val="002171D9"/>
    <w:rsid w:val="00221D7E"/>
    <w:rsid w:val="00272FBC"/>
    <w:rsid w:val="002803B3"/>
    <w:rsid w:val="0029199F"/>
    <w:rsid w:val="002E38D0"/>
    <w:rsid w:val="00306D64"/>
    <w:rsid w:val="00355FD9"/>
    <w:rsid w:val="00396852"/>
    <w:rsid w:val="003C3934"/>
    <w:rsid w:val="003D6538"/>
    <w:rsid w:val="003D65C4"/>
    <w:rsid w:val="00492A20"/>
    <w:rsid w:val="00497D67"/>
    <w:rsid w:val="004D5678"/>
    <w:rsid w:val="00504703"/>
    <w:rsid w:val="00586546"/>
    <w:rsid w:val="005B5254"/>
    <w:rsid w:val="005B6B37"/>
    <w:rsid w:val="005F4455"/>
    <w:rsid w:val="00605D85"/>
    <w:rsid w:val="006337AA"/>
    <w:rsid w:val="00634661"/>
    <w:rsid w:val="0064434D"/>
    <w:rsid w:val="00671385"/>
    <w:rsid w:val="00684305"/>
    <w:rsid w:val="006A54AF"/>
    <w:rsid w:val="006A6FB3"/>
    <w:rsid w:val="006B07D0"/>
    <w:rsid w:val="00700515"/>
    <w:rsid w:val="00737E1A"/>
    <w:rsid w:val="0075415B"/>
    <w:rsid w:val="007C7A76"/>
    <w:rsid w:val="007E6BD5"/>
    <w:rsid w:val="00806FE0"/>
    <w:rsid w:val="00822DD4"/>
    <w:rsid w:val="00841B3C"/>
    <w:rsid w:val="008E7284"/>
    <w:rsid w:val="008F0C23"/>
    <w:rsid w:val="009064B6"/>
    <w:rsid w:val="00911B26"/>
    <w:rsid w:val="00914E81"/>
    <w:rsid w:val="00920CCE"/>
    <w:rsid w:val="00927A25"/>
    <w:rsid w:val="00941FDF"/>
    <w:rsid w:val="00942A63"/>
    <w:rsid w:val="00943854"/>
    <w:rsid w:val="00963CF8"/>
    <w:rsid w:val="009675B1"/>
    <w:rsid w:val="00991755"/>
    <w:rsid w:val="00992895"/>
    <w:rsid w:val="009E5294"/>
    <w:rsid w:val="009F151A"/>
    <w:rsid w:val="009F5F51"/>
    <w:rsid w:val="00A30B8D"/>
    <w:rsid w:val="00A7215D"/>
    <w:rsid w:val="00A84DAE"/>
    <w:rsid w:val="00AB47AD"/>
    <w:rsid w:val="00AD20D5"/>
    <w:rsid w:val="00B04C4C"/>
    <w:rsid w:val="00B142D6"/>
    <w:rsid w:val="00B46195"/>
    <w:rsid w:val="00B70FA6"/>
    <w:rsid w:val="00B7103F"/>
    <w:rsid w:val="00BA5C83"/>
    <w:rsid w:val="00BD0E1B"/>
    <w:rsid w:val="00BD454B"/>
    <w:rsid w:val="00BE28D0"/>
    <w:rsid w:val="00BF19B5"/>
    <w:rsid w:val="00C05DC4"/>
    <w:rsid w:val="00C25736"/>
    <w:rsid w:val="00C833BA"/>
    <w:rsid w:val="00CD3ECE"/>
    <w:rsid w:val="00CF0ADD"/>
    <w:rsid w:val="00D0079F"/>
    <w:rsid w:val="00D01E64"/>
    <w:rsid w:val="00D0649B"/>
    <w:rsid w:val="00D51E5E"/>
    <w:rsid w:val="00D52626"/>
    <w:rsid w:val="00D52ADD"/>
    <w:rsid w:val="00D57CA5"/>
    <w:rsid w:val="00DA1F18"/>
    <w:rsid w:val="00DA4E64"/>
    <w:rsid w:val="00DA65A1"/>
    <w:rsid w:val="00DB015A"/>
    <w:rsid w:val="00DB6602"/>
    <w:rsid w:val="00DC09A0"/>
    <w:rsid w:val="00DC4320"/>
    <w:rsid w:val="00DC4B8C"/>
    <w:rsid w:val="00E35E13"/>
    <w:rsid w:val="00E47B32"/>
    <w:rsid w:val="00E52555"/>
    <w:rsid w:val="00ED5577"/>
    <w:rsid w:val="00F079F9"/>
    <w:rsid w:val="00F3586E"/>
    <w:rsid w:val="00F472E0"/>
    <w:rsid w:val="00F7431B"/>
    <w:rsid w:val="00F855D2"/>
    <w:rsid w:val="00FA074D"/>
    <w:rsid w:val="00FB1ADC"/>
    <w:rsid w:val="00FD653F"/>
    <w:rsid w:val="00FF781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7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1FDF"/>
  </w:style>
  <w:style w:type="paragraph" w:styleId="ListParagraph">
    <w:name w:val="List Paragraph"/>
    <w:basedOn w:val="Normal"/>
    <w:uiPriority w:val="34"/>
    <w:qFormat/>
    <w:rsid w:val="00914E81"/>
    <w:pPr>
      <w:ind w:left="720"/>
      <w:contextualSpacing/>
    </w:pPr>
  </w:style>
  <w:style w:type="paragraph" w:styleId="BalloonText">
    <w:name w:val="Balloon Text"/>
    <w:basedOn w:val="Normal"/>
    <w:link w:val="BalloonTextChar"/>
    <w:uiPriority w:val="99"/>
    <w:semiHidden/>
    <w:unhideWhenUsed/>
    <w:rsid w:val="00A84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DAE"/>
    <w:rPr>
      <w:rFonts w:ascii="Tahoma" w:hAnsi="Tahoma" w:cs="Tahoma"/>
      <w:sz w:val="16"/>
      <w:szCs w:val="16"/>
    </w:rPr>
  </w:style>
  <w:style w:type="table" w:styleId="TableGrid">
    <w:name w:val="Table Grid"/>
    <w:basedOn w:val="TableNormal"/>
    <w:uiPriority w:val="59"/>
    <w:rsid w:val="002E38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2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DD4"/>
  </w:style>
  <w:style w:type="paragraph" w:styleId="Footer">
    <w:name w:val="footer"/>
    <w:basedOn w:val="Normal"/>
    <w:link w:val="FooterChar"/>
    <w:uiPriority w:val="99"/>
    <w:unhideWhenUsed/>
    <w:rsid w:val="00822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D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1FDF"/>
  </w:style>
  <w:style w:type="paragraph" w:styleId="ListParagraph">
    <w:name w:val="List Paragraph"/>
    <w:basedOn w:val="Normal"/>
    <w:uiPriority w:val="34"/>
    <w:qFormat/>
    <w:rsid w:val="00914E81"/>
    <w:pPr>
      <w:ind w:left="720"/>
      <w:contextualSpacing/>
    </w:pPr>
  </w:style>
  <w:style w:type="paragraph" w:styleId="BalloonText">
    <w:name w:val="Balloon Text"/>
    <w:basedOn w:val="Normal"/>
    <w:link w:val="BalloonTextChar"/>
    <w:uiPriority w:val="99"/>
    <w:semiHidden/>
    <w:unhideWhenUsed/>
    <w:rsid w:val="00A84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DAE"/>
    <w:rPr>
      <w:rFonts w:ascii="Tahoma" w:hAnsi="Tahoma" w:cs="Tahoma"/>
      <w:sz w:val="16"/>
      <w:szCs w:val="16"/>
    </w:rPr>
  </w:style>
  <w:style w:type="table" w:styleId="TableGrid">
    <w:name w:val="Table Grid"/>
    <w:basedOn w:val="TableNormal"/>
    <w:uiPriority w:val="59"/>
    <w:rsid w:val="002E38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2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DD4"/>
  </w:style>
  <w:style w:type="paragraph" w:styleId="Footer">
    <w:name w:val="footer"/>
    <w:basedOn w:val="Normal"/>
    <w:link w:val="FooterChar"/>
    <w:uiPriority w:val="99"/>
    <w:unhideWhenUsed/>
    <w:rsid w:val="00822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DD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3279</Words>
  <Characters>18692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2019-03-10T10:26:00Z</dcterms:created>
  <dcterms:modified xsi:type="dcterms:W3CDTF">2019-03-10T10:26:00Z</dcterms:modified>
</cp:coreProperties>
</file>